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24A6C0" wp14:editId="4B1E071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692650" cy="3081020"/>
            <wp:effectExtent l="0" t="0" r="0" b="5080"/>
            <wp:wrapSquare wrapText="bothSides"/>
            <wp:docPr id="1" name="Рисунок 1" descr="3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384" w:rsidRPr="0075608A" w:rsidRDefault="00513384" w:rsidP="005133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4. Распространенность генотипов полиморфизма </w:t>
      </w:r>
      <w:proofErr w:type="spellStart"/>
      <w:r w:rsidRPr="0075608A">
        <w:rPr>
          <w:rFonts w:ascii="Times New Roman" w:hAnsi="Times New Roman"/>
          <w:i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i/>
          <w:sz w:val="24"/>
          <w:szCs w:val="24"/>
        </w:rPr>
        <w:t>2200733</w:t>
      </w:r>
      <w:r w:rsidRPr="0075608A">
        <w:rPr>
          <w:rFonts w:ascii="Times New Roman" w:hAnsi="Times New Roman"/>
          <w:sz w:val="24"/>
          <w:szCs w:val="24"/>
        </w:rPr>
        <w:t xml:space="preserve"> хромосомы </w:t>
      </w:r>
      <w:r w:rsidRPr="0075608A">
        <w:rPr>
          <w:rFonts w:ascii="Times New Roman" w:hAnsi="Times New Roman"/>
          <w:i/>
          <w:sz w:val="24"/>
          <w:szCs w:val="24"/>
        </w:rPr>
        <w:t>4q25</w:t>
      </w:r>
      <w:r w:rsidRPr="0075608A">
        <w:rPr>
          <w:rFonts w:ascii="Times New Roman" w:hAnsi="Times New Roman"/>
          <w:sz w:val="24"/>
          <w:szCs w:val="24"/>
        </w:rPr>
        <w:t xml:space="preserve"> в подгруппе больных с изолированной фибрилляцией предсердий и у лиц контрольной группы.</w:t>
      </w:r>
    </w:p>
    <w:p w:rsidR="003848E1" w:rsidRDefault="003848E1"/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29"/>
    <w:rsid w:val="003848E1"/>
    <w:rsid w:val="00513384"/>
    <w:rsid w:val="00A6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9EF"/>
  <w15:chartTrackingRefBased/>
  <w15:docId w15:val="{BFF5CA78-C3FF-46D5-A06D-87ABE10F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2016-05-23T14:36:00Z</dcterms:created>
  <dcterms:modified xsi:type="dcterms:W3CDTF">2016-05-23T14:37:00Z</dcterms:modified>
</cp:coreProperties>
</file>