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ms-word.document.macroEnabled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3A1" w:rsidRPr="007933A1" w:rsidRDefault="007933A1" w:rsidP="007933A1">
      <w:pPr>
        <w:suppressAutoHyphens/>
        <w:spacing w:before="120" w:after="120" w:line="360" w:lineRule="auto"/>
        <w:ind w:firstLine="709"/>
        <w:jc w:val="center"/>
        <w:rPr>
          <w:rFonts w:ascii="Arial" w:eastAsia="Times New Roman" w:hAnsi="Arial" w:cs="Arial"/>
          <w:sz w:val="28"/>
          <w:szCs w:val="20"/>
          <w:lang w:val="x-none" w:eastAsia="ar-SA"/>
        </w:rPr>
      </w:pPr>
      <w:r>
        <w:rPr>
          <w:rFonts w:ascii="Arial" w:eastAsia="Times New Roman" w:hAnsi="Arial" w:cs="Arial"/>
          <w:noProof/>
          <w:sz w:val="28"/>
          <w:szCs w:val="20"/>
          <w:lang w:eastAsia="ru-RU"/>
        </w:rPr>
        <w:drawing>
          <wp:inline distT="0" distB="0" distL="0" distR="0">
            <wp:extent cx="6257925" cy="4048125"/>
            <wp:effectExtent l="0" t="0" r="0" b="0"/>
            <wp:docPr id="3" name="Диаграмма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7933A1" w:rsidRPr="007933A1" w:rsidRDefault="007933A1" w:rsidP="007933A1">
      <w:pPr>
        <w:spacing w:after="120" w:line="240" w:lineRule="auto"/>
        <w:ind w:left="283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7933A1">
        <w:rPr>
          <w:rFonts w:ascii="Arial" w:eastAsia="Times New Roman" w:hAnsi="Arial" w:cs="Arial"/>
          <w:lang w:val="en-US" w:eastAsia="ru-RU"/>
        </w:rPr>
        <w:t>*</w:t>
      </w:r>
      <w:r w:rsidRPr="007933A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 &lt; 0.05.</w:t>
      </w:r>
      <w:proofErr w:type="gramEnd"/>
    </w:p>
    <w:p w:rsidR="007933A1" w:rsidRPr="007933A1" w:rsidRDefault="007933A1" w:rsidP="007933A1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  <w:proofErr w:type="gramStart"/>
      <w:r w:rsidRPr="007933A1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Figure 1.</w:t>
      </w:r>
      <w:proofErr w:type="gramEnd"/>
      <w:r w:rsidRPr="007933A1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 Comparative analysis of relative risk of arterial hypertension development in men with vital exhaustion in different age groups (</w:t>
      </w:r>
      <w:proofErr w:type="spellStart"/>
      <w:r w:rsidRPr="007933A1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u</w:t>
      </w:r>
      <w:r w:rsidRPr="007933A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ar-SA"/>
        </w:rPr>
        <w:t>nifactorial</w:t>
      </w:r>
      <w:proofErr w:type="spellEnd"/>
      <w:r w:rsidRPr="007933A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ar-SA"/>
        </w:rPr>
        <w:t xml:space="preserve"> </w:t>
      </w:r>
      <w:r w:rsidRPr="007933A1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Cox model). </w:t>
      </w:r>
    </w:p>
    <w:p w:rsidR="007933A1" w:rsidRPr="007933A1" w:rsidRDefault="007933A1" w:rsidP="007933A1">
      <w:pPr>
        <w:suppressAutoHyphens/>
        <w:ind w:firstLine="709"/>
        <w:jc w:val="both"/>
        <w:rPr>
          <w:rFonts w:ascii="Arial" w:eastAsia="Times New Roman" w:hAnsi="Arial" w:cs="Arial"/>
          <w:lang w:val="en-US" w:eastAsia="ar-SA"/>
        </w:rPr>
      </w:pPr>
      <w:r w:rsidRPr="007933A1">
        <w:rPr>
          <w:rFonts w:ascii="Arial" w:eastAsia="Times New Roman" w:hAnsi="Arial" w:cs="Arial"/>
          <w:lang w:val="en-US" w:eastAsia="ar-SA"/>
        </w:rPr>
        <w:br w:type="page"/>
      </w:r>
    </w:p>
    <w:p w:rsidR="007933A1" w:rsidRPr="007933A1" w:rsidRDefault="007933A1" w:rsidP="007933A1">
      <w:pPr>
        <w:suppressAutoHyphens/>
        <w:spacing w:before="120" w:after="120" w:line="360" w:lineRule="auto"/>
        <w:ind w:firstLine="709"/>
        <w:jc w:val="center"/>
        <w:rPr>
          <w:rFonts w:ascii="Arial" w:eastAsia="Times New Roman" w:hAnsi="Arial" w:cs="Arial"/>
          <w:sz w:val="28"/>
          <w:szCs w:val="20"/>
          <w:lang w:val="x-none" w:eastAsia="ar-SA"/>
        </w:rPr>
      </w:pPr>
      <w:r>
        <w:rPr>
          <w:rFonts w:ascii="Arial" w:eastAsia="Times New Roman" w:hAnsi="Arial" w:cs="Arial"/>
          <w:noProof/>
          <w:sz w:val="28"/>
          <w:szCs w:val="20"/>
          <w:lang w:eastAsia="ru-RU"/>
        </w:rPr>
        <w:lastRenderedPageBreak/>
        <w:drawing>
          <wp:inline distT="0" distB="0" distL="0" distR="0">
            <wp:extent cx="6534150" cy="3952875"/>
            <wp:effectExtent l="0" t="0" r="0" b="0"/>
            <wp:docPr id="2" name="Диаграмма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7933A1" w:rsidRPr="007933A1" w:rsidRDefault="007933A1" w:rsidP="007933A1">
      <w:pPr>
        <w:suppressAutoHyphens/>
        <w:spacing w:after="12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  <w:r w:rsidRPr="007933A1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*</w:t>
      </w:r>
      <w:proofErr w:type="gramStart"/>
      <w:r w:rsidRPr="007933A1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p  &lt;</w:t>
      </w:r>
      <w:proofErr w:type="gramEnd"/>
      <w:r w:rsidRPr="007933A1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 0.05.</w:t>
      </w:r>
    </w:p>
    <w:p w:rsidR="007933A1" w:rsidRPr="007933A1" w:rsidRDefault="007933A1" w:rsidP="007933A1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  <w:proofErr w:type="gramStart"/>
      <w:r w:rsidRPr="007933A1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Figure 2.</w:t>
      </w:r>
      <w:proofErr w:type="gramEnd"/>
      <w:r w:rsidRPr="007933A1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 Comparative analysis of relative risk of myocardial infarction development in men with vital exhaustion in different age groups (</w:t>
      </w:r>
      <w:proofErr w:type="spellStart"/>
      <w:r w:rsidRPr="007933A1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u</w:t>
      </w:r>
      <w:r w:rsidRPr="007933A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ar-SA"/>
        </w:rPr>
        <w:t>nifactorial</w:t>
      </w:r>
      <w:proofErr w:type="spellEnd"/>
      <w:r w:rsidRPr="007933A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ar-SA"/>
        </w:rPr>
        <w:t xml:space="preserve"> </w:t>
      </w:r>
      <w:r w:rsidRPr="007933A1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Cox model).</w:t>
      </w:r>
    </w:p>
    <w:p w:rsidR="007933A1" w:rsidRPr="007933A1" w:rsidRDefault="007933A1" w:rsidP="007933A1">
      <w:pPr>
        <w:suppressAutoHyphens/>
        <w:spacing w:after="120" w:line="360" w:lineRule="auto"/>
        <w:ind w:firstLine="709"/>
        <w:jc w:val="both"/>
        <w:rPr>
          <w:rFonts w:ascii="Arial" w:eastAsia="Times New Roman" w:hAnsi="Arial" w:cs="Arial"/>
          <w:sz w:val="28"/>
          <w:szCs w:val="20"/>
          <w:lang w:val="en-US" w:eastAsia="ar-SA"/>
        </w:rPr>
      </w:pPr>
      <w:r w:rsidRPr="007933A1">
        <w:rPr>
          <w:rFonts w:ascii="Arial" w:eastAsia="Times New Roman" w:hAnsi="Arial" w:cs="Arial"/>
          <w:sz w:val="28"/>
          <w:szCs w:val="20"/>
          <w:lang w:val="en-US" w:eastAsia="ar-SA"/>
        </w:rPr>
        <w:br w:type="page"/>
      </w:r>
    </w:p>
    <w:p w:rsidR="007933A1" w:rsidRPr="007933A1" w:rsidRDefault="007933A1" w:rsidP="007933A1">
      <w:pPr>
        <w:suppressAutoHyphens/>
        <w:spacing w:before="120" w:after="0" w:line="360" w:lineRule="auto"/>
        <w:ind w:firstLine="709"/>
        <w:jc w:val="center"/>
        <w:rPr>
          <w:rFonts w:ascii="Arial" w:eastAsia="Times New Roman" w:hAnsi="Arial" w:cs="Arial"/>
          <w:lang w:val="en-US" w:eastAsia="ar-SA"/>
        </w:rPr>
      </w:pPr>
    </w:p>
    <w:p w:rsidR="007933A1" w:rsidRPr="007933A1" w:rsidRDefault="007933A1" w:rsidP="007933A1">
      <w:pPr>
        <w:suppressAutoHyphens/>
        <w:spacing w:after="0" w:line="360" w:lineRule="auto"/>
        <w:ind w:firstLine="709"/>
        <w:jc w:val="center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noProof/>
          <w:lang w:eastAsia="ru-RU"/>
        </w:rPr>
        <w:drawing>
          <wp:inline distT="0" distB="0" distL="0" distR="0">
            <wp:extent cx="6838950" cy="3267075"/>
            <wp:effectExtent l="0" t="0" r="0" b="0"/>
            <wp:docPr id="1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7933A1" w:rsidRPr="007933A1" w:rsidRDefault="007933A1" w:rsidP="007933A1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  <w:proofErr w:type="gramStart"/>
      <w:r w:rsidRPr="007933A1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*p &lt; 0.05.</w:t>
      </w:r>
      <w:proofErr w:type="gramEnd"/>
    </w:p>
    <w:p w:rsidR="007933A1" w:rsidRPr="007933A1" w:rsidRDefault="007933A1" w:rsidP="007933A1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</w:p>
    <w:p w:rsidR="007933A1" w:rsidRPr="007933A1" w:rsidRDefault="007933A1" w:rsidP="007933A1">
      <w:pPr>
        <w:suppressAutoHyphens/>
        <w:spacing w:before="120"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  <w:proofErr w:type="gramStart"/>
      <w:r w:rsidRPr="007933A1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Figure 3.</w:t>
      </w:r>
      <w:proofErr w:type="gramEnd"/>
      <w:r w:rsidRPr="007933A1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 Comparative analysis of relative risk of stroke in men with vital exhaustion in different age groups (</w:t>
      </w:r>
      <w:proofErr w:type="spellStart"/>
      <w:r w:rsidRPr="007933A1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u</w:t>
      </w:r>
      <w:r w:rsidRPr="007933A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ar-SA"/>
        </w:rPr>
        <w:t>nifactorial</w:t>
      </w:r>
      <w:proofErr w:type="spellEnd"/>
      <w:r w:rsidRPr="007933A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ar-SA"/>
        </w:rPr>
        <w:t xml:space="preserve"> </w:t>
      </w:r>
      <w:r w:rsidRPr="007933A1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Cox model).</w:t>
      </w:r>
    </w:p>
    <w:p w:rsidR="007933A1" w:rsidRPr="007933A1" w:rsidRDefault="007933A1" w:rsidP="007933A1">
      <w:pPr>
        <w:suppressAutoHyphens/>
        <w:spacing w:after="0" w:line="360" w:lineRule="auto"/>
        <w:ind w:firstLine="709"/>
        <w:jc w:val="right"/>
        <w:rPr>
          <w:rFonts w:ascii="Arial" w:eastAsia="Times New Roman" w:hAnsi="Arial" w:cs="Arial"/>
          <w:lang w:val="en-US" w:eastAsia="ar-SA"/>
        </w:rPr>
        <w:sectPr w:rsidR="007933A1" w:rsidRPr="007933A1" w:rsidSect="00024604">
          <w:pgSz w:w="16840" w:h="11907" w:orient="landscape" w:code="9"/>
          <w:pgMar w:top="1418" w:right="1134" w:bottom="1701" w:left="1134" w:header="709" w:footer="709" w:gutter="0"/>
          <w:cols w:space="708"/>
          <w:docGrid w:linePitch="360"/>
        </w:sectPr>
      </w:pPr>
    </w:p>
    <w:p w:rsidR="001D3F08" w:rsidRPr="007933A1" w:rsidRDefault="001D3F08" w:rsidP="007933A1">
      <w:pPr>
        <w:rPr>
          <w:lang w:val="en-US"/>
        </w:rPr>
      </w:pPr>
      <w:bookmarkStart w:id="0" w:name="_GoBack"/>
      <w:bookmarkEnd w:id="0"/>
    </w:p>
    <w:sectPr w:rsidR="001D3F08" w:rsidRPr="007933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3A1"/>
    <w:rsid w:val="001D3F08"/>
    <w:rsid w:val="00793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33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33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33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33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3.xlsx"/><Relationship Id="rId1" Type="http://schemas.openxmlformats.org/officeDocument/2006/relationships/themeOverride" Target="../theme/themeOverrid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6.9551777434312415E-2"/>
          <c:y val="5.5421686746987983E-2"/>
          <c:w val="0.91653786707882534"/>
          <c:h val="0.7662650602409638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Лист1!$A$8</c:f>
              <c:strCache>
                <c:ptCount val="1"/>
                <c:pt idx="0">
                  <c:v>25-34 years</c:v>
                </c:pt>
              </c:strCache>
            </c:strRef>
          </c:tx>
          <c:spPr>
            <a:pattFill prst="pct90">
              <a:fgClr>
                <a:srgbClr val="000000"/>
              </a:fgClr>
              <a:bgClr>
                <a:srgbClr val="FFFFFF"/>
              </a:bgClr>
            </a:pattFill>
            <a:ln w="12703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5398">
                <a:noFill/>
              </a:ln>
            </c:spPr>
            <c:txPr>
              <a:bodyPr/>
              <a:lstStyle/>
              <a:p>
                <a:pPr>
                  <a:defRPr sz="1150" b="0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Лист1!$B$7:$D$7</c:f>
              <c:strCache>
                <c:ptCount val="3"/>
                <c:pt idx="0">
                  <c:v>5 years</c:v>
                </c:pt>
                <c:pt idx="1">
                  <c:v>10 years</c:v>
                </c:pt>
                <c:pt idx="2">
                  <c:v>14 years</c:v>
                </c:pt>
              </c:strCache>
            </c:strRef>
          </c:cat>
          <c:val>
            <c:numRef>
              <c:f>Лист1!$B$8:$D$8</c:f>
              <c:numCache>
                <c:formatCode>General</c:formatCode>
                <c:ptCount val="3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Лист1!$A$9</c:f>
              <c:strCache>
                <c:ptCount val="1"/>
                <c:pt idx="0">
                  <c:v>35-44 years</c:v>
                </c:pt>
              </c:strCache>
            </c:strRef>
          </c:tx>
          <c:spPr>
            <a:pattFill prst="pct5">
              <a:fgClr>
                <a:srgbClr val="000000"/>
              </a:fgClr>
              <a:bgClr>
                <a:srgbClr val="FFFFFF"/>
              </a:bgClr>
            </a:pattFill>
            <a:ln w="12703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5398">
                <a:noFill/>
              </a:ln>
            </c:spPr>
            <c:txPr>
              <a:bodyPr/>
              <a:lstStyle/>
              <a:p>
                <a:pPr>
                  <a:defRPr sz="1150" b="0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Лист1!$B$7:$D$7</c:f>
              <c:strCache>
                <c:ptCount val="3"/>
                <c:pt idx="0">
                  <c:v>5 years</c:v>
                </c:pt>
                <c:pt idx="1">
                  <c:v>10 years</c:v>
                </c:pt>
                <c:pt idx="2">
                  <c:v>14 years</c:v>
                </c:pt>
              </c:strCache>
            </c:strRef>
          </c:cat>
          <c:val>
            <c:numRef>
              <c:f>Лист1!$B$9:$D$9</c:f>
              <c:numCache>
                <c:formatCode>General</c:formatCode>
                <c:ptCount val="3"/>
                <c:pt idx="0">
                  <c:v>0</c:v>
                </c:pt>
                <c:pt idx="1">
                  <c:v>0</c:v>
                </c:pt>
                <c:pt idx="2">
                  <c:v>0.02</c:v>
                </c:pt>
              </c:numCache>
            </c:numRef>
          </c:val>
        </c:ser>
        <c:ser>
          <c:idx val="2"/>
          <c:order val="2"/>
          <c:tx>
            <c:strRef>
              <c:f>Лист1!$A$10</c:f>
              <c:strCache>
                <c:ptCount val="1"/>
                <c:pt idx="0">
                  <c:v>45-54 years</c:v>
                </c:pt>
              </c:strCache>
            </c:strRef>
          </c:tx>
          <c:spPr>
            <a:pattFill prst="wdUpDiag">
              <a:fgClr>
                <a:srgbClr val="000000"/>
              </a:fgClr>
              <a:bgClr>
                <a:srgbClr val="FFFFFF"/>
              </a:bgClr>
            </a:pattFill>
            <a:ln w="12703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5398">
                <a:noFill/>
              </a:ln>
            </c:spPr>
            <c:txPr>
              <a:bodyPr/>
              <a:lstStyle/>
              <a:p>
                <a:pPr>
                  <a:defRPr sz="1150" b="0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Лист1!$B$7:$D$7</c:f>
              <c:strCache>
                <c:ptCount val="3"/>
                <c:pt idx="0">
                  <c:v>5 years</c:v>
                </c:pt>
                <c:pt idx="1">
                  <c:v>10 years</c:v>
                </c:pt>
                <c:pt idx="2">
                  <c:v>14 years</c:v>
                </c:pt>
              </c:strCache>
            </c:strRef>
          </c:cat>
          <c:val>
            <c:numRef>
              <c:f>Лист1!$B$10:$D$10</c:f>
              <c:numCache>
                <c:formatCode>General</c:formatCode>
                <c:ptCount val="3"/>
                <c:pt idx="0">
                  <c:v>0.25</c:v>
                </c:pt>
                <c:pt idx="1">
                  <c:v>4.0000000000000001E-3</c:v>
                </c:pt>
                <c:pt idx="2">
                  <c:v>1.7</c:v>
                </c:pt>
              </c:numCache>
            </c:numRef>
          </c:val>
        </c:ser>
        <c:ser>
          <c:idx val="3"/>
          <c:order val="3"/>
          <c:tx>
            <c:strRef>
              <c:f>Лист1!$A$11</c:f>
              <c:strCache>
                <c:ptCount val="1"/>
                <c:pt idx="0">
                  <c:v>55-64 years</c:v>
                </c:pt>
              </c:strCache>
            </c:strRef>
          </c:tx>
          <c:spPr>
            <a:pattFill prst="dkHorz">
              <a:fgClr>
                <a:srgbClr val="000000"/>
              </a:fgClr>
              <a:bgClr>
                <a:srgbClr val="FFFFFF"/>
              </a:bgClr>
            </a:pattFill>
            <a:ln w="12703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5398">
                <a:noFill/>
              </a:ln>
            </c:spPr>
            <c:txPr>
              <a:bodyPr/>
              <a:lstStyle/>
              <a:p>
                <a:pPr>
                  <a:defRPr sz="1150" b="0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Лист1!$B$7:$D$7</c:f>
              <c:strCache>
                <c:ptCount val="3"/>
                <c:pt idx="0">
                  <c:v>5 years</c:v>
                </c:pt>
                <c:pt idx="1">
                  <c:v>10 years</c:v>
                </c:pt>
                <c:pt idx="2">
                  <c:v>14 years</c:v>
                </c:pt>
              </c:strCache>
            </c:strRef>
          </c:cat>
          <c:val>
            <c:numRef>
              <c:f>Лист1!$B$11:$D$11</c:f>
              <c:numCache>
                <c:formatCode>General</c:formatCode>
                <c:ptCount val="3"/>
                <c:pt idx="0">
                  <c:v>1.7</c:v>
                </c:pt>
                <c:pt idx="1">
                  <c:v>2.2999999999999998</c:v>
                </c:pt>
                <c:pt idx="2">
                  <c:v>1.24</c:v>
                </c:pt>
              </c:numCache>
            </c:numRef>
          </c:val>
        </c:ser>
        <c:ser>
          <c:idx val="4"/>
          <c:order val="4"/>
          <c:tx>
            <c:strRef>
              <c:f>Лист1!$A$12</c:f>
              <c:strCache>
                <c:ptCount val="1"/>
                <c:pt idx="0">
                  <c:v>25-64 years</c:v>
                </c:pt>
              </c:strCache>
            </c:strRef>
          </c:tx>
          <c:spPr>
            <a:pattFill prst="wdDnDiag">
              <a:fgClr>
                <a:srgbClr val="000000"/>
              </a:fgClr>
              <a:bgClr>
                <a:srgbClr val="FFFFFF"/>
              </a:bgClr>
            </a:pattFill>
            <a:ln w="12703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/>
              <c:tx>
                <c:rich>
                  <a:bodyPr/>
                  <a:lstStyle/>
                  <a:p>
                    <a:r>
                      <a:rPr lang="ru-RU"/>
                      <a:t>3,2*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0"/>
              <c:showBubbleSize val="0"/>
            </c:dLbl>
            <c:dLbl>
              <c:idx val="1"/>
              <c:layout/>
              <c:tx>
                <c:rich>
                  <a:bodyPr/>
                  <a:lstStyle/>
                  <a:p>
                    <a:r>
                      <a:rPr lang="ru-RU"/>
                      <a:t>1,6*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0"/>
              <c:showBubbleSize val="0"/>
            </c:dLbl>
            <c:dLbl>
              <c:idx val="2"/>
              <c:layout/>
              <c:tx>
                <c:rich>
                  <a:bodyPr/>
                  <a:lstStyle/>
                  <a:p>
                    <a:r>
                      <a:rPr lang="ru-RU"/>
                      <a:t>1,4*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0"/>
              <c:showBubbleSize val="0"/>
            </c:dLbl>
            <c:spPr>
              <a:noFill/>
              <a:ln w="25398">
                <a:noFill/>
              </a:ln>
            </c:spPr>
            <c:txPr>
              <a:bodyPr/>
              <a:lstStyle/>
              <a:p>
                <a:pPr>
                  <a:defRPr sz="1150" b="0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Лист1!$B$7:$D$7</c:f>
              <c:strCache>
                <c:ptCount val="3"/>
                <c:pt idx="0">
                  <c:v>5 years</c:v>
                </c:pt>
                <c:pt idx="1">
                  <c:v>10 years</c:v>
                </c:pt>
                <c:pt idx="2">
                  <c:v>14 years</c:v>
                </c:pt>
              </c:strCache>
            </c:strRef>
          </c:cat>
          <c:val>
            <c:numRef>
              <c:f>Лист1!$B$12:$D$12</c:f>
              <c:numCache>
                <c:formatCode>General</c:formatCode>
                <c:ptCount val="3"/>
                <c:pt idx="0">
                  <c:v>3.2</c:v>
                </c:pt>
                <c:pt idx="1">
                  <c:v>1.6</c:v>
                </c:pt>
                <c:pt idx="2">
                  <c:v>1.4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151106688"/>
        <c:axId val="151108224"/>
      </c:barChart>
      <c:catAx>
        <c:axId val="15110668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6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5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51108224"/>
        <c:crosses val="autoZero"/>
        <c:auto val="1"/>
        <c:lblAlgn val="ctr"/>
        <c:lblOffset val="100"/>
        <c:noMultiLvlLbl val="0"/>
      </c:catAx>
      <c:valAx>
        <c:axId val="151108224"/>
        <c:scaling>
          <c:orientation val="minMax"/>
        </c:scaling>
        <c:delete val="0"/>
        <c:axPos val="l"/>
        <c:majorGridlines>
          <c:spPr>
            <a:ln w="3176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6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5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51106688"/>
        <c:crosses val="autoZero"/>
        <c:crossBetween val="between"/>
      </c:valAx>
      <c:spPr>
        <a:solidFill>
          <a:srgbClr val="FFFFFF"/>
        </a:solidFill>
        <a:ln w="12703">
          <a:solidFill>
            <a:srgbClr val="FFFFFF"/>
          </a:solidFill>
          <a:prstDash val="solid"/>
        </a:ln>
      </c:spPr>
    </c:plotArea>
    <c:legend>
      <c:legendPos val="b"/>
      <c:layout>
        <c:manualLayout>
          <c:xMode val="edge"/>
          <c:yMode val="edge"/>
          <c:x val="0.17001545595054096"/>
          <c:y val="0.9301204819277108"/>
          <c:w val="0.80739029723293854"/>
          <c:h val="5.5426493375075103E-2"/>
        </c:manualLayout>
      </c:layout>
      <c:overlay val="0"/>
      <c:spPr>
        <a:solidFill>
          <a:srgbClr val="FFFFFF"/>
        </a:solidFill>
        <a:ln w="3176">
          <a:solidFill>
            <a:srgbClr val="000000"/>
          </a:solidFill>
          <a:prstDash val="solid"/>
        </a:ln>
      </c:spPr>
      <c:txPr>
        <a:bodyPr/>
        <a:lstStyle/>
        <a:p>
          <a:pPr>
            <a:defRPr sz="1055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1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5.2173913043478438E-2"/>
          <c:y val="5.8111380145278474E-2"/>
          <c:w val="0.93478260869565222"/>
          <c:h val="0.7578692493946752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Лист1!$C$4</c:f>
              <c:strCache>
                <c:ptCount val="1"/>
                <c:pt idx="0">
                  <c:v>25-34 years</c:v>
                </c:pt>
              </c:strCache>
            </c:strRef>
          </c:tx>
          <c:spPr>
            <a:pattFill prst="pct90">
              <a:fgClr>
                <a:srgbClr val="000000"/>
              </a:fgClr>
              <a:bgClr>
                <a:srgbClr val="FFFFFF"/>
              </a:bgClr>
            </a:pattFill>
            <a:ln w="12439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4889">
                <a:noFill/>
              </a:ln>
            </c:spPr>
            <c:txPr>
              <a:bodyPr/>
              <a:lstStyle/>
              <a:p>
                <a:pPr>
                  <a:defRPr sz="1176" b="0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Лист1!$D$3:$F$3</c:f>
              <c:strCache>
                <c:ptCount val="3"/>
                <c:pt idx="0">
                  <c:v>5 years</c:v>
                </c:pt>
                <c:pt idx="1">
                  <c:v>10 years</c:v>
                </c:pt>
                <c:pt idx="2">
                  <c:v>14 years</c:v>
                </c:pt>
              </c:strCache>
            </c:strRef>
          </c:cat>
          <c:val>
            <c:numRef>
              <c:f>Лист1!$D$4:$F$4</c:f>
              <c:numCache>
                <c:formatCode>General</c:formatCode>
                <c:ptCount val="3"/>
                <c:pt idx="1">
                  <c:v>4.3</c:v>
                </c:pt>
                <c:pt idx="2">
                  <c:v>1.5</c:v>
                </c:pt>
              </c:numCache>
            </c:numRef>
          </c:val>
        </c:ser>
        <c:ser>
          <c:idx val="1"/>
          <c:order val="1"/>
          <c:tx>
            <c:strRef>
              <c:f>Лист1!$C$5</c:f>
              <c:strCache>
                <c:ptCount val="1"/>
                <c:pt idx="0">
                  <c:v>35-44 years</c:v>
                </c:pt>
              </c:strCache>
            </c:strRef>
          </c:tx>
          <c:spPr>
            <a:pattFill prst="pct5">
              <a:fgClr>
                <a:srgbClr val="000000"/>
              </a:fgClr>
              <a:bgClr>
                <a:srgbClr val="FFFFFF"/>
              </a:bgClr>
            </a:pattFill>
            <a:ln w="12439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4889">
                <a:noFill/>
              </a:ln>
            </c:spPr>
            <c:txPr>
              <a:bodyPr/>
              <a:lstStyle/>
              <a:p>
                <a:pPr>
                  <a:defRPr sz="1176" b="0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Лист1!$D$3:$F$3</c:f>
              <c:strCache>
                <c:ptCount val="3"/>
                <c:pt idx="0">
                  <c:v>5 years</c:v>
                </c:pt>
                <c:pt idx="1">
                  <c:v>10 years</c:v>
                </c:pt>
                <c:pt idx="2">
                  <c:v>14 years</c:v>
                </c:pt>
              </c:strCache>
            </c:strRef>
          </c:cat>
          <c:val>
            <c:numRef>
              <c:f>Лист1!$D$5:$F$5</c:f>
              <c:numCache>
                <c:formatCode>General</c:formatCode>
                <c:ptCount val="3"/>
                <c:pt idx="0">
                  <c:v>1.8</c:v>
                </c:pt>
                <c:pt idx="1">
                  <c:v>1.9</c:v>
                </c:pt>
                <c:pt idx="2">
                  <c:v>1.7</c:v>
                </c:pt>
              </c:numCache>
            </c:numRef>
          </c:val>
        </c:ser>
        <c:ser>
          <c:idx val="2"/>
          <c:order val="2"/>
          <c:tx>
            <c:strRef>
              <c:f>Лист1!$C$6</c:f>
              <c:strCache>
                <c:ptCount val="1"/>
                <c:pt idx="0">
                  <c:v>45-54 years</c:v>
                </c:pt>
              </c:strCache>
            </c:strRef>
          </c:tx>
          <c:spPr>
            <a:pattFill prst="wdUpDiag">
              <a:fgClr>
                <a:srgbClr val="000000"/>
              </a:fgClr>
              <a:bgClr>
                <a:srgbClr val="FFFFCC"/>
              </a:bgClr>
            </a:pattFill>
            <a:ln w="12439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4889">
                <a:noFill/>
              </a:ln>
            </c:spPr>
            <c:txPr>
              <a:bodyPr/>
              <a:lstStyle/>
              <a:p>
                <a:pPr>
                  <a:defRPr sz="1176" b="0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Лист1!$D$3:$F$3</c:f>
              <c:strCache>
                <c:ptCount val="3"/>
                <c:pt idx="0">
                  <c:v>5 years</c:v>
                </c:pt>
                <c:pt idx="1">
                  <c:v>10 years</c:v>
                </c:pt>
                <c:pt idx="2">
                  <c:v>14 years</c:v>
                </c:pt>
              </c:strCache>
            </c:strRef>
          </c:cat>
          <c:val>
            <c:numRef>
              <c:f>Лист1!$D$6:$F$6</c:f>
              <c:numCache>
                <c:formatCode>General</c:formatCode>
                <c:ptCount val="3"/>
                <c:pt idx="0">
                  <c:v>3.6</c:v>
                </c:pt>
                <c:pt idx="1">
                  <c:v>7</c:v>
                </c:pt>
                <c:pt idx="2">
                  <c:v>5.3</c:v>
                </c:pt>
              </c:numCache>
            </c:numRef>
          </c:val>
        </c:ser>
        <c:ser>
          <c:idx val="3"/>
          <c:order val="3"/>
          <c:tx>
            <c:strRef>
              <c:f>Лист1!$C$7</c:f>
              <c:strCache>
                <c:ptCount val="1"/>
                <c:pt idx="0">
                  <c:v>55-64 years</c:v>
                </c:pt>
              </c:strCache>
            </c:strRef>
          </c:tx>
          <c:spPr>
            <a:pattFill prst="dkHorz">
              <a:fgClr>
                <a:srgbClr val="000000"/>
              </a:fgClr>
              <a:bgClr>
                <a:srgbClr val="FFFFFF"/>
              </a:bgClr>
            </a:pattFill>
            <a:ln w="12439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4889">
                <a:noFill/>
              </a:ln>
            </c:spPr>
            <c:txPr>
              <a:bodyPr/>
              <a:lstStyle/>
              <a:p>
                <a:pPr>
                  <a:defRPr sz="1176" b="0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Лист1!$D$3:$F$3</c:f>
              <c:strCache>
                <c:ptCount val="3"/>
                <c:pt idx="0">
                  <c:v>5 years</c:v>
                </c:pt>
                <c:pt idx="1">
                  <c:v>10 years</c:v>
                </c:pt>
                <c:pt idx="2">
                  <c:v>14 years</c:v>
                </c:pt>
              </c:strCache>
            </c:strRef>
          </c:cat>
          <c:val>
            <c:numRef>
              <c:f>Лист1!$D$7:$F$7</c:f>
              <c:numCache>
                <c:formatCode>General</c:formatCode>
                <c:ptCount val="3"/>
                <c:pt idx="0">
                  <c:v>2.5</c:v>
                </c:pt>
                <c:pt idx="1">
                  <c:v>1.3</c:v>
                </c:pt>
                <c:pt idx="2">
                  <c:v>1.0900000000000001</c:v>
                </c:pt>
              </c:numCache>
            </c:numRef>
          </c:val>
        </c:ser>
        <c:ser>
          <c:idx val="4"/>
          <c:order val="4"/>
          <c:tx>
            <c:strRef>
              <c:f>Лист1!$C$8</c:f>
              <c:strCache>
                <c:ptCount val="1"/>
                <c:pt idx="0">
                  <c:v>25-64 years</c:v>
                </c:pt>
              </c:strCache>
            </c:strRef>
          </c:tx>
          <c:spPr>
            <a:pattFill prst="wdDnDiag">
              <a:fgClr>
                <a:srgbClr val="000000"/>
              </a:fgClr>
              <a:bgClr>
                <a:srgbClr val="FFFFFF"/>
              </a:bgClr>
            </a:pattFill>
            <a:ln w="12439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/>
              <c:tx>
                <c:rich>
                  <a:bodyPr/>
                  <a:lstStyle/>
                  <a:p>
                    <a:pPr>
                      <a:defRPr sz="1175" b="0" i="0" u="none" strike="noStrike" baseline="0">
                        <a:solidFill>
                          <a:srgbClr val="000000"/>
                        </a:solidFill>
                        <a:latin typeface="Arial Cyr"/>
                        <a:ea typeface="Arial Cyr"/>
                        <a:cs typeface="Arial Cyr"/>
                      </a:defRPr>
                    </a:pPr>
                    <a:r>
                      <a:rPr lang="ru-RU"/>
                      <a:t>2,7*</a:t>
                    </a:r>
                  </a:p>
                </c:rich>
              </c:tx>
              <c:spPr>
                <a:noFill/>
                <a:ln w="24889">
                  <a:noFill/>
                </a:ln>
              </c:spPr>
              <c:showLegendKey val="0"/>
              <c:showVal val="0"/>
              <c:showCatName val="0"/>
              <c:showSerName val="0"/>
              <c:showPercent val="0"/>
              <c:showBubbleSize val="0"/>
            </c:dLbl>
            <c:dLbl>
              <c:idx val="1"/>
              <c:layout/>
              <c:tx>
                <c:rich>
                  <a:bodyPr/>
                  <a:lstStyle/>
                  <a:p>
                    <a:pPr>
                      <a:defRPr sz="1175" b="0" i="0" u="none" strike="noStrike" baseline="0">
                        <a:solidFill>
                          <a:srgbClr val="000000"/>
                        </a:solidFill>
                        <a:latin typeface="Arial Cyr"/>
                        <a:ea typeface="Arial Cyr"/>
                        <a:cs typeface="Arial Cyr"/>
                      </a:defRPr>
                    </a:pPr>
                    <a:r>
                      <a:rPr lang="ru-RU"/>
                      <a:t>2,25*</a:t>
                    </a:r>
                  </a:p>
                </c:rich>
              </c:tx>
              <c:spPr>
                <a:noFill/>
                <a:ln w="24889">
                  <a:noFill/>
                </a:ln>
              </c:spPr>
              <c:showLegendKey val="0"/>
              <c:showVal val="0"/>
              <c:showCatName val="0"/>
              <c:showSerName val="0"/>
              <c:showPercent val="0"/>
              <c:showBubbleSize val="0"/>
            </c:dLbl>
            <c:dLbl>
              <c:idx val="2"/>
              <c:layout/>
              <c:tx>
                <c:rich>
                  <a:bodyPr/>
                  <a:lstStyle/>
                  <a:p>
                    <a:pPr>
                      <a:defRPr sz="1175" b="0" i="0" u="none" strike="noStrike" baseline="0">
                        <a:solidFill>
                          <a:srgbClr val="000000"/>
                        </a:solidFill>
                        <a:latin typeface="Arial Cyr"/>
                        <a:ea typeface="Arial Cyr"/>
                        <a:cs typeface="Arial Cyr"/>
                      </a:defRPr>
                    </a:pPr>
                    <a:r>
                      <a:rPr lang="ru-RU"/>
                      <a:t>2,1*</a:t>
                    </a:r>
                  </a:p>
                </c:rich>
              </c:tx>
              <c:spPr>
                <a:noFill/>
                <a:ln w="24889">
                  <a:noFill/>
                </a:ln>
              </c:spPr>
              <c:showLegendKey val="0"/>
              <c:showVal val="0"/>
              <c:showCatName val="0"/>
              <c:showSerName val="0"/>
              <c:showPercent val="0"/>
              <c:showBubbleSize val="0"/>
            </c:dLbl>
            <c:spPr>
              <a:noFill/>
              <a:ln w="24889">
                <a:noFill/>
              </a:ln>
            </c:spPr>
            <c:txPr>
              <a:bodyPr/>
              <a:lstStyle/>
              <a:p>
                <a:pPr>
                  <a:defRPr sz="1176" b="0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Лист1!$D$3:$F$3</c:f>
              <c:strCache>
                <c:ptCount val="3"/>
                <c:pt idx="0">
                  <c:v>5 years</c:v>
                </c:pt>
                <c:pt idx="1">
                  <c:v>10 years</c:v>
                </c:pt>
                <c:pt idx="2">
                  <c:v>14 years</c:v>
                </c:pt>
              </c:strCache>
            </c:strRef>
          </c:cat>
          <c:val>
            <c:numRef>
              <c:f>Лист1!$D$8:$F$8</c:f>
              <c:numCache>
                <c:formatCode>General</c:formatCode>
                <c:ptCount val="3"/>
                <c:pt idx="0">
                  <c:v>2.7</c:v>
                </c:pt>
                <c:pt idx="1">
                  <c:v>2.2400000000000002</c:v>
                </c:pt>
                <c:pt idx="2">
                  <c:v>2.1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139740672"/>
        <c:axId val="139742208"/>
      </c:barChart>
      <c:catAx>
        <c:axId val="13974067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09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76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39742208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39742208"/>
        <c:scaling>
          <c:orientation val="minMax"/>
        </c:scaling>
        <c:delete val="0"/>
        <c:axPos val="l"/>
        <c:majorGridlines>
          <c:spPr>
            <a:ln w="3109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09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76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39740672"/>
        <c:crosses val="autoZero"/>
        <c:crossBetween val="between"/>
      </c:valAx>
      <c:spPr>
        <a:solidFill>
          <a:srgbClr val="FFFFFF"/>
        </a:solidFill>
        <a:ln w="12439">
          <a:solidFill>
            <a:srgbClr val="FFFFFF"/>
          </a:solidFill>
          <a:prstDash val="solid"/>
        </a:ln>
      </c:spPr>
    </c:plotArea>
    <c:legend>
      <c:legendPos val="b"/>
      <c:layout>
        <c:manualLayout>
          <c:xMode val="edge"/>
          <c:yMode val="edge"/>
          <c:x val="0.14782608695652175"/>
          <c:y val="0.92736077481840196"/>
          <c:w val="0.73913043478260865"/>
          <c:h val="6.5375302663438273E-2"/>
        </c:manualLayout>
      </c:layout>
      <c:overlay val="0"/>
      <c:spPr>
        <a:solidFill>
          <a:srgbClr val="FFFFFF"/>
        </a:solidFill>
        <a:ln w="3109">
          <a:solidFill>
            <a:srgbClr val="000000"/>
          </a:solidFill>
          <a:prstDash val="solid"/>
        </a:ln>
      </c:spPr>
      <c:txPr>
        <a:bodyPr/>
        <a:lstStyle/>
        <a:p>
          <a:pPr>
            <a:defRPr sz="1077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176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4.9861495844875633E-2"/>
          <c:y val="7.1428571428571425E-2"/>
          <c:w val="0.93767313019390663"/>
          <c:h val="0.7023809523809523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Лист1!$A$6</c:f>
              <c:strCache>
                <c:ptCount val="1"/>
                <c:pt idx="0">
                  <c:v>25-34 years</c:v>
                </c:pt>
              </c:strCache>
            </c:strRef>
          </c:tx>
          <c:spPr>
            <a:pattFill prst="pct90">
              <a:fgClr>
                <a:srgbClr val="000000"/>
              </a:fgClr>
              <a:bgClr>
                <a:srgbClr val="FFFFFF"/>
              </a:bgClr>
            </a:pattFill>
            <a:ln w="12457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4913">
                <a:noFill/>
              </a:ln>
            </c:spPr>
            <c:txPr>
              <a:bodyPr/>
              <a:lstStyle/>
              <a:p>
                <a:pPr>
                  <a:defRPr sz="1177" b="0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Лист1!$B$5:$D$5</c:f>
              <c:strCache>
                <c:ptCount val="3"/>
                <c:pt idx="0">
                  <c:v>5 years</c:v>
                </c:pt>
                <c:pt idx="1">
                  <c:v>10 years</c:v>
                </c:pt>
                <c:pt idx="2">
                  <c:v>14 years</c:v>
                </c:pt>
              </c:strCache>
            </c:strRef>
          </c:cat>
          <c:val>
            <c:numRef>
              <c:f>Лист1!$B$6:$D$6</c:f>
              <c:numCache>
                <c:formatCode>General</c:formatCode>
                <c:ptCount val="3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Лист1!$A$7</c:f>
              <c:strCache>
                <c:ptCount val="1"/>
                <c:pt idx="0">
                  <c:v>35-44 years</c:v>
                </c:pt>
              </c:strCache>
            </c:strRef>
          </c:tx>
          <c:spPr>
            <a:pattFill prst="pct10">
              <a:fgClr>
                <a:srgbClr val="000000"/>
              </a:fgClr>
              <a:bgClr>
                <a:srgbClr val="FFFFFF"/>
              </a:bgClr>
            </a:pattFill>
            <a:ln w="12457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4913">
                <a:noFill/>
              </a:ln>
            </c:spPr>
            <c:txPr>
              <a:bodyPr/>
              <a:lstStyle/>
              <a:p>
                <a:pPr>
                  <a:defRPr sz="1177" b="0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Лист1!$B$5:$D$5</c:f>
              <c:strCache>
                <c:ptCount val="3"/>
                <c:pt idx="0">
                  <c:v>5 years</c:v>
                </c:pt>
                <c:pt idx="1">
                  <c:v>10 years</c:v>
                </c:pt>
                <c:pt idx="2">
                  <c:v>14 years</c:v>
                </c:pt>
              </c:strCache>
            </c:strRef>
          </c:cat>
          <c:val>
            <c:numRef>
              <c:f>Лист1!$B$7:$D$7</c:f>
              <c:numCache>
                <c:formatCode>General</c:formatCode>
                <c:ptCount val="3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Лист1!$A$8</c:f>
              <c:strCache>
                <c:ptCount val="1"/>
                <c:pt idx="0">
                  <c:v>45-54 years</c:v>
                </c:pt>
              </c:strCache>
            </c:strRef>
          </c:tx>
          <c:spPr>
            <a:pattFill prst="wdUpDiag">
              <a:fgClr>
                <a:srgbClr val="000000"/>
              </a:fgClr>
              <a:bgClr>
                <a:srgbClr val="FFFFFF"/>
              </a:bgClr>
            </a:pattFill>
            <a:ln w="12457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4913">
                <a:noFill/>
              </a:ln>
            </c:spPr>
            <c:txPr>
              <a:bodyPr/>
              <a:lstStyle/>
              <a:p>
                <a:pPr>
                  <a:defRPr sz="1177" b="0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Лист1!$B$5:$D$5</c:f>
              <c:strCache>
                <c:ptCount val="3"/>
                <c:pt idx="0">
                  <c:v>5 years</c:v>
                </c:pt>
                <c:pt idx="1">
                  <c:v>10 years</c:v>
                </c:pt>
                <c:pt idx="2">
                  <c:v>14 years</c:v>
                </c:pt>
              </c:strCache>
            </c:strRef>
          </c:cat>
          <c:val>
            <c:numRef>
              <c:f>Лист1!$B$8:$D$8</c:f>
              <c:numCache>
                <c:formatCode>General</c:formatCode>
                <c:ptCount val="3"/>
                <c:pt idx="0">
                  <c:v>6.4</c:v>
                </c:pt>
                <c:pt idx="1">
                  <c:v>1.9</c:v>
                </c:pt>
                <c:pt idx="2">
                  <c:v>1.46</c:v>
                </c:pt>
              </c:numCache>
            </c:numRef>
          </c:val>
        </c:ser>
        <c:ser>
          <c:idx val="3"/>
          <c:order val="3"/>
          <c:tx>
            <c:strRef>
              <c:f>Лист1!$A$9</c:f>
              <c:strCache>
                <c:ptCount val="1"/>
                <c:pt idx="0">
                  <c:v>55-64 years</c:v>
                </c:pt>
              </c:strCache>
            </c:strRef>
          </c:tx>
          <c:spPr>
            <a:pattFill prst="dkHorz">
              <a:fgClr>
                <a:srgbClr val="000000"/>
              </a:fgClr>
              <a:bgClr>
                <a:srgbClr val="FFFFFF"/>
              </a:bgClr>
            </a:pattFill>
            <a:ln w="12457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/>
              <c:tx>
                <c:rich>
                  <a:bodyPr/>
                  <a:lstStyle/>
                  <a:p>
                    <a:r>
                      <a:rPr lang="ru-RU"/>
                      <a:t>8,1*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0"/>
              <c:showBubbleSize val="0"/>
            </c:dLbl>
            <c:dLbl>
              <c:idx val="1"/>
              <c:layout/>
              <c:tx>
                <c:rich>
                  <a:bodyPr/>
                  <a:lstStyle/>
                  <a:p>
                    <a:r>
                      <a:rPr lang="ru-RU"/>
                      <a:t>5,9*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0"/>
              <c:showBubbleSize val="0"/>
            </c:dLbl>
            <c:spPr>
              <a:noFill/>
              <a:ln w="24913">
                <a:noFill/>
              </a:ln>
            </c:spPr>
            <c:txPr>
              <a:bodyPr/>
              <a:lstStyle/>
              <a:p>
                <a:pPr>
                  <a:defRPr sz="1177" b="0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Лист1!$B$5:$D$5</c:f>
              <c:strCache>
                <c:ptCount val="3"/>
                <c:pt idx="0">
                  <c:v>5 years</c:v>
                </c:pt>
                <c:pt idx="1">
                  <c:v>10 years</c:v>
                </c:pt>
                <c:pt idx="2">
                  <c:v>14 years</c:v>
                </c:pt>
              </c:strCache>
            </c:strRef>
          </c:cat>
          <c:val>
            <c:numRef>
              <c:f>Лист1!$B$9:$D$9</c:f>
              <c:numCache>
                <c:formatCode>General</c:formatCode>
                <c:ptCount val="3"/>
                <c:pt idx="0">
                  <c:v>8.1</c:v>
                </c:pt>
                <c:pt idx="1">
                  <c:v>5.9</c:v>
                </c:pt>
                <c:pt idx="2">
                  <c:v>1.8</c:v>
                </c:pt>
              </c:numCache>
            </c:numRef>
          </c:val>
        </c:ser>
        <c:ser>
          <c:idx val="4"/>
          <c:order val="4"/>
          <c:tx>
            <c:strRef>
              <c:f>Лист1!$A$10</c:f>
              <c:strCache>
                <c:ptCount val="1"/>
                <c:pt idx="0">
                  <c:v>25-64 years</c:v>
                </c:pt>
              </c:strCache>
            </c:strRef>
          </c:tx>
          <c:spPr>
            <a:pattFill prst="wdDnDiag">
              <a:fgClr>
                <a:srgbClr val="000000"/>
              </a:fgClr>
              <a:bgClr>
                <a:srgbClr val="FFFFFF"/>
              </a:bgClr>
            </a:pattFill>
            <a:ln w="12457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/>
              <c:tx>
                <c:rich>
                  <a:bodyPr/>
                  <a:lstStyle/>
                  <a:p>
                    <a:r>
                      <a:rPr lang="ru-RU"/>
                      <a:t>3,2*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0"/>
              <c:showBubbleSize val="0"/>
            </c:dLbl>
            <c:dLbl>
              <c:idx val="1"/>
              <c:layout/>
              <c:tx>
                <c:rich>
                  <a:bodyPr/>
                  <a:lstStyle/>
                  <a:p>
                    <a:r>
                      <a:rPr lang="ru-RU"/>
                      <a:t>4,9*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0"/>
              <c:showBubbleSize val="0"/>
            </c:dLbl>
            <c:dLbl>
              <c:idx val="2"/>
              <c:layout/>
              <c:tx>
                <c:rich>
                  <a:bodyPr/>
                  <a:lstStyle/>
                  <a:p>
                    <a:r>
                      <a:rPr lang="ru-RU"/>
                      <a:t>2,1*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0"/>
              <c:showBubbleSize val="0"/>
            </c:dLbl>
            <c:spPr>
              <a:noFill/>
              <a:ln w="24913">
                <a:noFill/>
              </a:ln>
            </c:spPr>
            <c:txPr>
              <a:bodyPr/>
              <a:lstStyle/>
              <a:p>
                <a:pPr>
                  <a:defRPr sz="1177" b="0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Лист1!$B$5:$D$5</c:f>
              <c:strCache>
                <c:ptCount val="3"/>
                <c:pt idx="0">
                  <c:v>5 years</c:v>
                </c:pt>
                <c:pt idx="1">
                  <c:v>10 years</c:v>
                </c:pt>
                <c:pt idx="2">
                  <c:v>14 years</c:v>
                </c:pt>
              </c:strCache>
            </c:strRef>
          </c:cat>
          <c:val>
            <c:numRef>
              <c:f>Лист1!$B$10:$D$10</c:f>
              <c:numCache>
                <c:formatCode>General</c:formatCode>
                <c:ptCount val="3"/>
                <c:pt idx="0">
                  <c:v>3.2</c:v>
                </c:pt>
                <c:pt idx="1">
                  <c:v>4.9000000000000004</c:v>
                </c:pt>
                <c:pt idx="2">
                  <c:v>2.1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139044736"/>
        <c:axId val="139046272"/>
      </c:barChart>
      <c:catAx>
        <c:axId val="13904473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14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77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39046272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39046272"/>
        <c:scaling>
          <c:orientation val="minMax"/>
        </c:scaling>
        <c:delete val="0"/>
        <c:axPos val="l"/>
        <c:majorGridlines>
          <c:spPr>
            <a:ln w="3114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14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77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39044736"/>
        <c:crosses val="autoZero"/>
        <c:crossBetween val="between"/>
      </c:valAx>
      <c:spPr>
        <a:solidFill>
          <a:srgbClr val="FFFFFF"/>
        </a:solidFill>
        <a:ln w="12457">
          <a:solidFill>
            <a:srgbClr val="FFFFFF"/>
          </a:solidFill>
          <a:prstDash val="solid"/>
        </a:ln>
      </c:spPr>
    </c:plotArea>
    <c:legend>
      <c:legendPos val="b"/>
      <c:layout>
        <c:manualLayout>
          <c:xMode val="edge"/>
          <c:yMode val="edge"/>
          <c:x val="0.16343490304709141"/>
          <c:y val="0.9107142857142857"/>
          <c:w val="0.7063711911357341"/>
          <c:h val="8.0357142857142905E-2"/>
        </c:manualLayout>
      </c:layout>
      <c:overlay val="0"/>
      <c:spPr>
        <a:solidFill>
          <a:srgbClr val="FFFFFF"/>
        </a:solidFill>
        <a:ln w="3114">
          <a:solidFill>
            <a:srgbClr val="000000"/>
          </a:solidFill>
          <a:prstDash val="solid"/>
        </a:ln>
      </c:spPr>
      <c:txPr>
        <a:bodyPr/>
        <a:lstStyle/>
        <a:p>
          <a:pPr>
            <a:defRPr sz="1079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177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Gafarov</dc:creator>
  <cp:lastModifiedBy>Gafarov</cp:lastModifiedBy>
  <cp:revision>1</cp:revision>
  <dcterms:created xsi:type="dcterms:W3CDTF">2016-02-18T14:55:00Z</dcterms:created>
  <dcterms:modified xsi:type="dcterms:W3CDTF">2016-02-18T14:56:00Z</dcterms:modified>
</cp:coreProperties>
</file>