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14F2F" w14:textId="77777777" w:rsidR="0005338E" w:rsidRDefault="0005338E" w:rsidP="0005338E">
      <w:pPr>
        <w:jc w:val="center"/>
        <w:rPr>
          <w:rFonts w:ascii="Times New Roman" w:hAnsi="Times New Roman" w:cs="Times New Roman"/>
          <w:b/>
          <w:color w:val="000000" w:themeColor="text1"/>
          <w:sz w:val="32"/>
          <w:szCs w:val="32"/>
        </w:rPr>
      </w:pPr>
      <w:r w:rsidRPr="00CA60B1">
        <w:rPr>
          <w:rFonts w:ascii="Times New Roman" w:hAnsi="Times New Roman" w:cs="Times New Roman"/>
          <w:b/>
          <w:color w:val="000000" w:themeColor="text1"/>
          <w:sz w:val="32"/>
          <w:szCs w:val="32"/>
        </w:rPr>
        <w:t>ВЫЯВЛЕНИЕ ФИБРИЛЛЯЦИИ ПРЕДСЕРДИЙ У ПАЦИЕНТОВ С СЕРДЕЧНЫМИ ИМПЛАНТИРУЕМЫМИ ЭЛЕКТРОННЫМИ УСТРОЙСТВАМИ: РАСПРОСТРАНЁННОСТЬ И ФАКТОРЫ РИСКА</w:t>
      </w:r>
    </w:p>
    <w:p w14:paraId="18E775E6" w14:textId="77777777" w:rsidR="00FF6F2B" w:rsidRDefault="00FF6F2B" w:rsidP="0005338E">
      <w:pPr>
        <w:jc w:val="center"/>
        <w:rPr>
          <w:rFonts w:ascii="Times New Roman" w:hAnsi="Times New Roman" w:cs="Times New Roman"/>
          <w:b/>
          <w:color w:val="000000" w:themeColor="text1"/>
          <w:sz w:val="32"/>
          <w:szCs w:val="32"/>
        </w:rPr>
      </w:pPr>
    </w:p>
    <w:p w14:paraId="02A2B866" w14:textId="77777777" w:rsidR="00FF6F2B" w:rsidRDefault="00FF6F2B" w:rsidP="00FF6F2B">
      <w:pPr>
        <w:spacing w:before="100" w:beforeAutospacing="1" w:after="100" w:afterAutospacing="1" w:line="36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РЕЗЮМЕ</w:t>
      </w:r>
    </w:p>
    <w:p w14:paraId="3788D99C" w14:textId="77777777" w:rsidR="00FF6F2B" w:rsidRDefault="00FF6F2B" w:rsidP="00FF6F2B">
      <w:pPr>
        <w:spacing w:before="100" w:beforeAutospacing="1" w:after="100" w:afterAutospacing="1" w:line="360" w:lineRule="auto"/>
        <w:ind w:firstLine="709"/>
        <w:contextualSpacing/>
        <w:jc w:val="both"/>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Оценить распространённость и выявить факторы риска возникновения фибрилляции предсердий (ФП) у пациентов с имплантируемыми сердечными устройствами (двухкамерными электрокардиостимуляторами (ЭКС), имплантируемыми </w:t>
      </w:r>
      <w:proofErr w:type="spellStart"/>
      <w:r>
        <w:rPr>
          <w:rFonts w:ascii="Times New Roman" w:hAnsi="Times New Roman" w:cs="Times New Roman"/>
          <w:sz w:val="24"/>
          <w:szCs w:val="24"/>
        </w:rPr>
        <w:t>кардиовертерами</w:t>
      </w:r>
      <w:proofErr w:type="spellEnd"/>
      <w:r>
        <w:rPr>
          <w:rFonts w:ascii="Times New Roman" w:hAnsi="Times New Roman" w:cs="Times New Roman"/>
          <w:sz w:val="24"/>
          <w:szCs w:val="24"/>
        </w:rPr>
        <w:t xml:space="preserve">-дефибрилляторами и устройствами для сердечной </w:t>
      </w:r>
      <w:proofErr w:type="spellStart"/>
      <w:r>
        <w:rPr>
          <w:rFonts w:ascii="Times New Roman" w:hAnsi="Times New Roman" w:cs="Times New Roman"/>
          <w:sz w:val="24"/>
          <w:szCs w:val="24"/>
        </w:rPr>
        <w:t>ресинхронизирующей</w:t>
      </w:r>
      <w:proofErr w:type="spellEnd"/>
      <w:r>
        <w:rPr>
          <w:rFonts w:ascii="Times New Roman" w:hAnsi="Times New Roman" w:cs="Times New Roman"/>
          <w:sz w:val="24"/>
          <w:szCs w:val="24"/>
        </w:rPr>
        <w:t xml:space="preserve"> терапии).</w:t>
      </w:r>
    </w:p>
    <w:p w14:paraId="1810F652" w14:textId="77777777" w:rsidR="00FF6F2B" w:rsidRDefault="00FF6F2B" w:rsidP="00FF6F2B">
      <w:pPr>
        <w:spacing w:before="100" w:beforeAutospacing="1" w:after="100" w:afterAutospacing="1" w:line="360" w:lineRule="auto"/>
        <w:ind w:firstLine="720"/>
        <w:contextualSpacing/>
        <w:jc w:val="both"/>
        <w:rPr>
          <w:rFonts w:ascii="Times New Roman" w:hAnsi="Times New Roman" w:cs="Times New Roman"/>
          <w:sz w:val="24"/>
          <w:szCs w:val="24"/>
        </w:rPr>
      </w:pPr>
      <w:r>
        <w:rPr>
          <w:rFonts w:ascii="Times New Roman" w:hAnsi="Times New Roman" w:cs="Times New Roman"/>
          <w:b/>
          <w:sz w:val="24"/>
          <w:szCs w:val="24"/>
        </w:rPr>
        <w:t>Материалы и методы</w:t>
      </w:r>
      <w:r>
        <w:rPr>
          <w:rFonts w:ascii="Times New Roman" w:hAnsi="Times New Roman" w:cs="Times New Roman"/>
          <w:sz w:val="24"/>
          <w:szCs w:val="24"/>
        </w:rPr>
        <w:t xml:space="preserve">. Дизайн работы представляет собой </w:t>
      </w:r>
      <w:proofErr w:type="spellStart"/>
      <w:r>
        <w:rPr>
          <w:rFonts w:ascii="Times New Roman" w:hAnsi="Times New Roman" w:cs="Times New Roman"/>
          <w:sz w:val="24"/>
          <w:szCs w:val="24"/>
        </w:rPr>
        <w:t>проспективное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одноцентровое</w:t>
      </w:r>
      <w:proofErr w:type="spellEnd"/>
      <w:r>
        <w:rPr>
          <w:rFonts w:ascii="Times New Roman" w:hAnsi="Times New Roman" w:cs="Times New Roman"/>
          <w:sz w:val="24"/>
          <w:szCs w:val="24"/>
        </w:rPr>
        <w:t xml:space="preserve"> исследование с последовательным включением 304 пациентов в возрасте от 18 лет без документированной ФП в анамнезе, имеющих показания для имплантации или смены ЭКС. Наблюдение за пациентами проводилось в течение 12-18 месяцев с периодичностью визитов 1 раз в 3 месяца. При анализе информации о нарушениях ритма, хранящейся в памяти ЭКС, значимыми считались эпизоды высокой предсердной частоты длительностью более 6 минут в день при частоте </w:t>
      </w:r>
      <w:proofErr w:type="spellStart"/>
      <w:r>
        <w:rPr>
          <w:rFonts w:ascii="Times New Roman" w:hAnsi="Times New Roman" w:cs="Times New Roman"/>
          <w:sz w:val="24"/>
          <w:szCs w:val="24"/>
        </w:rPr>
        <w:t>детекции</w:t>
      </w:r>
      <w:proofErr w:type="spellEnd"/>
      <w:r>
        <w:rPr>
          <w:rFonts w:ascii="Times New Roman" w:hAnsi="Times New Roman" w:cs="Times New Roman"/>
          <w:sz w:val="24"/>
          <w:szCs w:val="24"/>
        </w:rPr>
        <w:t xml:space="preserve"> более 175-180/мин. Кроме этого, у всех пациентов были оценены клинико-демографические данные, результаты лабораторного и </w:t>
      </w:r>
      <w:proofErr w:type="spellStart"/>
      <w:r>
        <w:rPr>
          <w:rFonts w:ascii="Times New Roman" w:hAnsi="Times New Roman" w:cs="Times New Roman"/>
          <w:sz w:val="24"/>
          <w:szCs w:val="24"/>
        </w:rPr>
        <w:t>эхокардиографического</w:t>
      </w:r>
      <w:proofErr w:type="spellEnd"/>
      <w:r>
        <w:rPr>
          <w:rFonts w:ascii="Times New Roman" w:hAnsi="Times New Roman" w:cs="Times New Roman"/>
          <w:sz w:val="24"/>
          <w:szCs w:val="24"/>
        </w:rPr>
        <w:t xml:space="preserve"> обследования.</w:t>
      </w:r>
    </w:p>
    <w:p w14:paraId="5DC670C5" w14:textId="77777777" w:rsidR="00FF6F2B" w:rsidRPr="00935B48" w:rsidRDefault="00FF6F2B" w:rsidP="00FF6F2B">
      <w:pPr>
        <w:spacing w:before="100" w:beforeAutospacing="1" w:after="100" w:afterAutospacing="1" w:line="360" w:lineRule="auto"/>
        <w:ind w:firstLine="720"/>
        <w:contextualSpacing/>
        <w:jc w:val="both"/>
        <w:rPr>
          <w:rFonts w:ascii="Times New Roman" w:hAnsi="Times New Roman" w:cs="Times New Roman"/>
          <w:sz w:val="24"/>
          <w:szCs w:val="24"/>
        </w:rPr>
      </w:pPr>
      <w:r>
        <w:rPr>
          <w:rFonts w:ascii="Times New Roman" w:hAnsi="Times New Roman" w:cs="Times New Roman"/>
          <w:b/>
          <w:sz w:val="24"/>
          <w:szCs w:val="24"/>
        </w:rPr>
        <w:t xml:space="preserve">Результаты. </w:t>
      </w:r>
      <w:r>
        <w:rPr>
          <w:rFonts w:ascii="Times New Roman" w:hAnsi="Times New Roman" w:cs="Times New Roman"/>
          <w:sz w:val="24"/>
          <w:szCs w:val="24"/>
        </w:rPr>
        <w:t xml:space="preserve">Исследование завершили 224 пациента, остальные выбыли на различных этапах наблюдения. </w:t>
      </w:r>
      <w:r w:rsidRPr="00337796">
        <w:rPr>
          <w:rFonts w:ascii="Times New Roman" w:hAnsi="Times New Roman" w:cs="Times New Roman"/>
          <w:sz w:val="24"/>
          <w:szCs w:val="24"/>
        </w:rPr>
        <w:t>ФП была выявлена у 57 больных (25,4</w:t>
      </w:r>
      <w:r>
        <w:rPr>
          <w:rFonts w:ascii="Times New Roman" w:hAnsi="Times New Roman" w:cs="Times New Roman"/>
          <w:sz w:val="24"/>
          <w:szCs w:val="24"/>
        </w:rPr>
        <w:t xml:space="preserve"> </w:t>
      </w:r>
      <w:r w:rsidRPr="00337796">
        <w:rPr>
          <w:rFonts w:ascii="Times New Roman" w:hAnsi="Times New Roman" w:cs="Times New Roman"/>
          <w:sz w:val="24"/>
          <w:szCs w:val="24"/>
        </w:rPr>
        <w:t xml:space="preserve">%), </w:t>
      </w:r>
      <w:r>
        <w:rPr>
          <w:rFonts w:ascii="Times New Roman" w:hAnsi="Times New Roman" w:cs="Times New Roman"/>
          <w:sz w:val="24"/>
          <w:szCs w:val="24"/>
        </w:rPr>
        <w:t xml:space="preserve">при этом </w:t>
      </w:r>
      <w:r w:rsidRPr="005657C9">
        <w:rPr>
          <w:rFonts w:ascii="Times New Roman" w:hAnsi="Times New Roman" w:cs="Times New Roman"/>
          <w:sz w:val="24"/>
          <w:szCs w:val="24"/>
        </w:rPr>
        <w:t>у 43 больных (75,4</w:t>
      </w:r>
      <w:r>
        <w:rPr>
          <w:rFonts w:ascii="Times New Roman" w:hAnsi="Times New Roman" w:cs="Times New Roman"/>
          <w:sz w:val="24"/>
          <w:szCs w:val="24"/>
        </w:rPr>
        <w:t xml:space="preserve"> </w:t>
      </w:r>
      <w:r w:rsidRPr="005657C9">
        <w:rPr>
          <w:rFonts w:ascii="Times New Roman" w:hAnsi="Times New Roman" w:cs="Times New Roman"/>
          <w:sz w:val="24"/>
          <w:szCs w:val="24"/>
        </w:rPr>
        <w:t xml:space="preserve">%) приступы протекали бессимптомно. </w:t>
      </w:r>
      <w:r>
        <w:rPr>
          <w:rFonts w:ascii="Times New Roman" w:hAnsi="Times New Roman" w:cs="Times New Roman"/>
          <w:sz w:val="24"/>
          <w:szCs w:val="24"/>
        </w:rPr>
        <w:t>Спустя 3 месяца после имплантации доля выявления ФП составила 14,9 % (38 пациентов из 255, пришедших на первый визит).  Независимыми факторами риска развития ФП являлись тромбоэмболические осложнения в анамнезе (ОР 4,72; 95 % ДИ 2,279-9,77; р</w:t>
      </w:r>
      <w:r w:rsidRPr="00935B48">
        <w:rPr>
          <w:rFonts w:ascii="Times New Roman" w:hAnsi="Times New Roman" w:cs="Times New Roman"/>
          <w:sz w:val="24"/>
          <w:szCs w:val="24"/>
        </w:rPr>
        <w:t>&lt;</w:t>
      </w:r>
      <w:r>
        <w:rPr>
          <w:rFonts w:ascii="Times New Roman" w:hAnsi="Times New Roman" w:cs="Times New Roman"/>
          <w:sz w:val="24"/>
          <w:szCs w:val="24"/>
        </w:rPr>
        <w:t>0,0001), увеличенный индекс объёма левого предсердия (ОР 2,07; 95 % ДИ 1,075-3,975; р=0,029), а также снижение уровня гемоглобина (ОР 2,58; 95 % ДИ 1,245-5,35; р=0,011).</w:t>
      </w:r>
    </w:p>
    <w:p w14:paraId="20E10C43" w14:textId="77777777" w:rsidR="00FF6F2B" w:rsidRDefault="00FF6F2B" w:rsidP="00FF6F2B">
      <w:pPr>
        <w:spacing w:before="100" w:beforeAutospacing="1" w:after="100" w:afterAutospacing="1" w:line="360" w:lineRule="auto"/>
        <w:ind w:firstLine="720"/>
        <w:contextualSpacing/>
        <w:jc w:val="both"/>
        <w:rPr>
          <w:rFonts w:ascii="Times New Roman" w:hAnsi="Times New Roman" w:cs="Times New Roman"/>
          <w:sz w:val="24"/>
          <w:szCs w:val="24"/>
        </w:rPr>
      </w:pPr>
      <w:r>
        <w:rPr>
          <w:rFonts w:ascii="Times New Roman" w:hAnsi="Times New Roman" w:cs="Times New Roman"/>
          <w:b/>
          <w:sz w:val="24"/>
          <w:szCs w:val="24"/>
        </w:rPr>
        <w:t>Выводы</w:t>
      </w:r>
      <w:r>
        <w:rPr>
          <w:rFonts w:ascii="Times New Roman" w:hAnsi="Times New Roman" w:cs="Times New Roman"/>
          <w:sz w:val="24"/>
          <w:szCs w:val="24"/>
        </w:rPr>
        <w:t>. Распространённость ФП у больных с имплантируемыми сердечными устройствами достаточно высока. У большинства пациентов эпизоды аритмии протекают бессимптомно. Наиболее часто ФП выявляется в течение первых 3х месяцев с момента операции. Факторами риска возникновения ФП по результатам данного исследования явились: тромбоэмболические осложнения в анамнезе, увеличение индекса объёма левого предсердия и снижение уровня гемоглобина.</w:t>
      </w:r>
    </w:p>
    <w:p w14:paraId="74A01FE2" w14:textId="77777777" w:rsidR="00FF6F2B" w:rsidRDefault="00FF6F2B" w:rsidP="00FF6F2B">
      <w:pPr>
        <w:spacing w:before="100" w:beforeAutospacing="1" w:after="100" w:afterAutospacing="1" w:line="360" w:lineRule="auto"/>
        <w:ind w:firstLine="720"/>
        <w:contextualSpacing/>
        <w:jc w:val="both"/>
        <w:rPr>
          <w:rFonts w:ascii="Times New Roman" w:hAnsi="Times New Roman" w:cs="Times New Roman"/>
          <w:sz w:val="24"/>
          <w:szCs w:val="24"/>
        </w:rPr>
      </w:pPr>
    </w:p>
    <w:p w14:paraId="3DF40E1F" w14:textId="77777777" w:rsidR="00FF6F2B" w:rsidRDefault="00FF6F2B" w:rsidP="00FF6F2B">
      <w:pPr>
        <w:spacing w:before="100" w:beforeAutospacing="1" w:after="100" w:afterAutospacing="1" w:line="360" w:lineRule="auto"/>
        <w:ind w:firstLine="720"/>
        <w:contextualSpacing/>
        <w:jc w:val="both"/>
        <w:rPr>
          <w:rFonts w:ascii="Times New Roman" w:hAnsi="Times New Roman" w:cs="Times New Roman"/>
          <w:sz w:val="24"/>
          <w:szCs w:val="24"/>
        </w:rPr>
      </w:pPr>
      <w:r w:rsidRPr="00E643DC">
        <w:rPr>
          <w:rFonts w:ascii="Times New Roman" w:hAnsi="Times New Roman" w:cs="Times New Roman"/>
          <w:i/>
          <w:sz w:val="24"/>
          <w:szCs w:val="24"/>
        </w:rPr>
        <w:lastRenderedPageBreak/>
        <w:t xml:space="preserve">Ключевые слова: </w:t>
      </w:r>
      <w:r>
        <w:rPr>
          <w:rFonts w:ascii="Times New Roman" w:hAnsi="Times New Roman" w:cs="Times New Roman"/>
          <w:sz w:val="24"/>
          <w:szCs w:val="24"/>
        </w:rPr>
        <w:t>фибрилляция предсердий; двухкамерный кардиостимулятор; эпизоды высокой предсердной частоты.</w:t>
      </w:r>
    </w:p>
    <w:p w14:paraId="56CEA030" w14:textId="77777777" w:rsidR="00FF6F2B" w:rsidRDefault="00FF6F2B" w:rsidP="00FF6F2B">
      <w:pPr>
        <w:spacing w:before="100" w:beforeAutospacing="1" w:after="100" w:afterAutospacing="1" w:line="360" w:lineRule="auto"/>
        <w:ind w:firstLine="720"/>
        <w:contextualSpacing/>
        <w:jc w:val="both"/>
        <w:rPr>
          <w:rFonts w:ascii="Times New Roman" w:hAnsi="Times New Roman" w:cs="Times New Roman"/>
          <w:sz w:val="24"/>
          <w:szCs w:val="24"/>
        </w:rPr>
      </w:pPr>
    </w:p>
    <w:p w14:paraId="4FE444FA" w14:textId="77777777" w:rsidR="00FF6F2B" w:rsidRDefault="00FF6F2B" w:rsidP="00FF6F2B">
      <w:pPr>
        <w:spacing w:before="100" w:beforeAutospacing="1" w:after="100" w:afterAutospacing="1" w:line="360" w:lineRule="auto"/>
        <w:ind w:firstLine="720"/>
        <w:contextualSpacing/>
        <w:jc w:val="both"/>
        <w:rPr>
          <w:rFonts w:ascii="Times New Roman" w:hAnsi="Times New Roman" w:cs="Times New Roman"/>
          <w:b/>
          <w:sz w:val="24"/>
          <w:szCs w:val="24"/>
        </w:rPr>
      </w:pPr>
      <w:r w:rsidRPr="00FF6F2B">
        <w:rPr>
          <w:rFonts w:ascii="Times New Roman" w:hAnsi="Times New Roman" w:cs="Times New Roman"/>
          <w:b/>
          <w:sz w:val="24"/>
          <w:szCs w:val="24"/>
        </w:rPr>
        <w:t>СПИСОК СОКРАЩЕНИЙ</w:t>
      </w:r>
    </w:p>
    <w:p w14:paraId="0337081C" w14:textId="77777777" w:rsidR="00FF6F2B" w:rsidRPr="00FF6F2B" w:rsidRDefault="00FF6F2B" w:rsidP="00FF6F2B">
      <w:pPr>
        <w:spacing w:before="100" w:beforeAutospacing="1" w:after="100" w:afterAutospacing="1" w:line="360" w:lineRule="auto"/>
        <w:ind w:firstLine="720"/>
        <w:contextualSpacing/>
        <w:jc w:val="both"/>
        <w:rPr>
          <w:rFonts w:ascii="Times New Roman" w:hAnsi="Times New Roman" w:cs="Times New Roman"/>
          <w:sz w:val="24"/>
          <w:szCs w:val="24"/>
        </w:rPr>
      </w:pPr>
      <w:r w:rsidRPr="00FF6F2B">
        <w:rPr>
          <w:rFonts w:ascii="Times New Roman" w:hAnsi="Times New Roman" w:cs="Times New Roman"/>
          <w:sz w:val="24"/>
          <w:szCs w:val="24"/>
        </w:rPr>
        <w:t xml:space="preserve">ВЭГМ – внутрисердечная </w:t>
      </w:r>
      <w:proofErr w:type="spellStart"/>
      <w:r w:rsidRPr="00FF6F2B">
        <w:rPr>
          <w:rFonts w:ascii="Times New Roman" w:hAnsi="Times New Roman" w:cs="Times New Roman"/>
          <w:sz w:val="24"/>
          <w:szCs w:val="24"/>
        </w:rPr>
        <w:t>электрограмма</w:t>
      </w:r>
      <w:proofErr w:type="spellEnd"/>
    </w:p>
    <w:p w14:paraId="713ED31D" w14:textId="77777777" w:rsidR="00FF6F2B" w:rsidRPr="00FF6F2B" w:rsidRDefault="00FF6F2B" w:rsidP="00FF6F2B">
      <w:pPr>
        <w:spacing w:before="100" w:beforeAutospacing="1" w:after="100" w:afterAutospacing="1" w:line="360" w:lineRule="auto"/>
        <w:ind w:firstLine="720"/>
        <w:contextualSpacing/>
        <w:jc w:val="both"/>
        <w:rPr>
          <w:rFonts w:ascii="Times New Roman" w:hAnsi="Times New Roman" w:cs="Times New Roman"/>
          <w:sz w:val="24"/>
          <w:szCs w:val="24"/>
        </w:rPr>
      </w:pPr>
      <w:r w:rsidRPr="00FF6F2B">
        <w:rPr>
          <w:rFonts w:ascii="Times New Roman" w:hAnsi="Times New Roman" w:cs="Times New Roman"/>
          <w:sz w:val="24"/>
          <w:szCs w:val="24"/>
        </w:rPr>
        <w:t>ИОЛП – индекс объёма левого предсердия</w:t>
      </w:r>
    </w:p>
    <w:p w14:paraId="1236018B" w14:textId="77777777" w:rsidR="00FF6F2B" w:rsidRPr="00FF6F2B" w:rsidRDefault="00FF6F2B" w:rsidP="00FF6F2B">
      <w:pPr>
        <w:spacing w:before="100" w:beforeAutospacing="1" w:after="100" w:afterAutospacing="1" w:line="360" w:lineRule="auto"/>
        <w:ind w:firstLine="720"/>
        <w:contextualSpacing/>
        <w:jc w:val="both"/>
        <w:rPr>
          <w:rFonts w:ascii="Times New Roman" w:hAnsi="Times New Roman" w:cs="Times New Roman"/>
          <w:sz w:val="24"/>
          <w:szCs w:val="24"/>
        </w:rPr>
      </w:pPr>
      <w:r w:rsidRPr="00FF6F2B">
        <w:rPr>
          <w:rFonts w:ascii="Times New Roman" w:hAnsi="Times New Roman" w:cs="Times New Roman"/>
          <w:sz w:val="24"/>
          <w:szCs w:val="24"/>
        </w:rPr>
        <w:t>ЛП – левое предсердие</w:t>
      </w:r>
    </w:p>
    <w:p w14:paraId="3CE5DB3B" w14:textId="77777777" w:rsidR="00FF6F2B" w:rsidRPr="00FF6F2B" w:rsidRDefault="00FF6F2B" w:rsidP="00FF6F2B">
      <w:pPr>
        <w:spacing w:before="100" w:beforeAutospacing="1" w:after="100" w:afterAutospacing="1" w:line="360" w:lineRule="auto"/>
        <w:ind w:firstLine="720"/>
        <w:contextualSpacing/>
        <w:jc w:val="both"/>
        <w:rPr>
          <w:rFonts w:ascii="Times New Roman" w:hAnsi="Times New Roman" w:cs="Times New Roman"/>
          <w:sz w:val="24"/>
          <w:szCs w:val="24"/>
        </w:rPr>
      </w:pPr>
      <w:r w:rsidRPr="00FF6F2B">
        <w:rPr>
          <w:rFonts w:ascii="Times New Roman" w:hAnsi="Times New Roman" w:cs="Times New Roman"/>
          <w:sz w:val="24"/>
          <w:szCs w:val="24"/>
        </w:rPr>
        <w:t>ОАК – оральные антикоагулянты</w:t>
      </w:r>
    </w:p>
    <w:p w14:paraId="591846F1" w14:textId="77777777" w:rsidR="00FF6F2B" w:rsidRPr="00FF6F2B" w:rsidRDefault="00FF6F2B" w:rsidP="00FF6F2B">
      <w:pPr>
        <w:spacing w:before="100" w:beforeAutospacing="1" w:after="100" w:afterAutospacing="1" w:line="360" w:lineRule="auto"/>
        <w:ind w:firstLine="720"/>
        <w:contextualSpacing/>
        <w:jc w:val="both"/>
        <w:rPr>
          <w:rFonts w:ascii="Times New Roman" w:hAnsi="Times New Roman" w:cs="Times New Roman"/>
          <w:sz w:val="24"/>
          <w:szCs w:val="24"/>
        </w:rPr>
      </w:pPr>
      <w:r w:rsidRPr="00FF6F2B">
        <w:rPr>
          <w:rFonts w:ascii="Times New Roman" w:hAnsi="Times New Roman" w:cs="Times New Roman"/>
          <w:sz w:val="24"/>
          <w:szCs w:val="24"/>
        </w:rPr>
        <w:t>ТЭО – тромбоэмболические осложнения</w:t>
      </w:r>
    </w:p>
    <w:p w14:paraId="13666398" w14:textId="77777777" w:rsidR="00FF6F2B" w:rsidRPr="00FF6F2B" w:rsidRDefault="00FF6F2B" w:rsidP="00FF6F2B">
      <w:pPr>
        <w:spacing w:before="100" w:beforeAutospacing="1" w:after="100" w:afterAutospacing="1" w:line="360" w:lineRule="auto"/>
        <w:ind w:firstLine="720"/>
        <w:contextualSpacing/>
        <w:jc w:val="both"/>
        <w:rPr>
          <w:rFonts w:ascii="Times New Roman" w:hAnsi="Times New Roman" w:cs="Times New Roman"/>
          <w:sz w:val="24"/>
          <w:szCs w:val="24"/>
        </w:rPr>
      </w:pPr>
      <w:r w:rsidRPr="00FF6F2B">
        <w:rPr>
          <w:rFonts w:ascii="Times New Roman" w:hAnsi="Times New Roman" w:cs="Times New Roman"/>
          <w:sz w:val="24"/>
          <w:szCs w:val="24"/>
        </w:rPr>
        <w:t>ФП – фибрилляция предсердий</w:t>
      </w:r>
    </w:p>
    <w:p w14:paraId="5A07821A" w14:textId="77777777" w:rsidR="00FF6F2B" w:rsidRPr="00FF6F2B" w:rsidRDefault="00FF6F2B" w:rsidP="00FF6F2B">
      <w:pPr>
        <w:spacing w:before="100" w:beforeAutospacing="1" w:after="100" w:afterAutospacing="1" w:line="360" w:lineRule="auto"/>
        <w:ind w:firstLine="720"/>
        <w:contextualSpacing/>
        <w:jc w:val="both"/>
        <w:rPr>
          <w:rFonts w:ascii="Times New Roman" w:hAnsi="Times New Roman" w:cs="Times New Roman"/>
          <w:sz w:val="24"/>
          <w:szCs w:val="24"/>
        </w:rPr>
      </w:pPr>
      <w:r w:rsidRPr="00FF6F2B">
        <w:rPr>
          <w:rFonts w:ascii="Times New Roman" w:hAnsi="Times New Roman" w:cs="Times New Roman"/>
          <w:sz w:val="24"/>
          <w:szCs w:val="24"/>
        </w:rPr>
        <w:t>ЭВПЧ – эпизоды высокой предсердной частоты</w:t>
      </w:r>
    </w:p>
    <w:p w14:paraId="6D170F03" w14:textId="77777777" w:rsidR="00FF6F2B" w:rsidRPr="00FF6F2B" w:rsidRDefault="00FF6F2B" w:rsidP="00FF6F2B">
      <w:pPr>
        <w:spacing w:before="100" w:beforeAutospacing="1" w:after="100" w:afterAutospacing="1" w:line="360" w:lineRule="auto"/>
        <w:ind w:firstLine="720"/>
        <w:contextualSpacing/>
        <w:jc w:val="both"/>
        <w:rPr>
          <w:rFonts w:ascii="Times New Roman" w:hAnsi="Times New Roman" w:cs="Times New Roman"/>
          <w:sz w:val="24"/>
          <w:szCs w:val="24"/>
        </w:rPr>
      </w:pPr>
      <w:r w:rsidRPr="00FF6F2B">
        <w:rPr>
          <w:rFonts w:ascii="Times New Roman" w:hAnsi="Times New Roman" w:cs="Times New Roman"/>
          <w:sz w:val="24"/>
          <w:szCs w:val="24"/>
        </w:rPr>
        <w:t>ЭКС - электрокардиостимулятор</w:t>
      </w:r>
    </w:p>
    <w:p w14:paraId="28A7D1B0" w14:textId="77777777" w:rsidR="00FF6F2B" w:rsidRPr="00CA60B1" w:rsidRDefault="00FF6F2B" w:rsidP="0005338E">
      <w:pPr>
        <w:jc w:val="center"/>
        <w:rPr>
          <w:rFonts w:ascii="Times New Roman" w:hAnsi="Times New Roman" w:cs="Times New Roman"/>
          <w:b/>
          <w:color w:val="000000" w:themeColor="text1"/>
          <w:sz w:val="28"/>
          <w:szCs w:val="28"/>
        </w:rPr>
      </w:pPr>
    </w:p>
    <w:p w14:paraId="4924207B" w14:textId="77777777" w:rsidR="0005338E" w:rsidRDefault="0005338E" w:rsidP="0005338E">
      <w:pPr>
        <w:spacing w:before="100" w:beforeAutospacing="1" w:after="100" w:afterAutospacing="1" w:line="360" w:lineRule="auto"/>
        <w:ind w:firstLine="567"/>
        <w:jc w:val="both"/>
        <w:rPr>
          <w:rFonts w:ascii="Times New Roman" w:hAnsi="Times New Roman"/>
          <w:b/>
          <w:sz w:val="24"/>
          <w:szCs w:val="24"/>
        </w:rPr>
      </w:pPr>
    </w:p>
    <w:p w14:paraId="09FEFCD5" w14:textId="77777777" w:rsidR="0005338E" w:rsidRDefault="0005338E" w:rsidP="0005338E">
      <w:pPr>
        <w:spacing w:before="100" w:beforeAutospacing="1" w:after="100" w:afterAutospacing="1" w:line="360" w:lineRule="auto"/>
        <w:ind w:firstLine="567"/>
        <w:jc w:val="both"/>
        <w:rPr>
          <w:rFonts w:ascii="Times New Roman" w:hAnsi="Times New Roman"/>
          <w:b/>
          <w:sz w:val="24"/>
          <w:szCs w:val="24"/>
        </w:rPr>
      </w:pPr>
      <w:r>
        <w:rPr>
          <w:rFonts w:ascii="Times New Roman" w:hAnsi="Times New Roman"/>
          <w:b/>
          <w:sz w:val="24"/>
          <w:szCs w:val="24"/>
        </w:rPr>
        <w:t>ВВЕДЕНИЕ</w:t>
      </w:r>
    </w:p>
    <w:p w14:paraId="16362B4F" w14:textId="60B1CD7B" w:rsidR="0005338E" w:rsidRDefault="0005338E" w:rsidP="0005338E">
      <w:pPr>
        <w:spacing w:before="100" w:beforeAutospacing="1" w:after="100" w:afterAutospacing="1" w:line="360" w:lineRule="auto"/>
        <w:ind w:firstLine="567"/>
        <w:contextualSpacing/>
        <w:jc w:val="both"/>
        <w:rPr>
          <w:rFonts w:ascii="Times New Roman" w:hAnsi="Times New Roman"/>
          <w:sz w:val="24"/>
          <w:szCs w:val="24"/>
        </w:rPr>
      </w:pPr>
      <w:r>
        <w:rPr>
          <w:rFonts w:ascii="Times New Roman" w:hAnsi="Times New Roman"/>
          <w:sz w:val="24"/>
          <w:szCs w:val="24"/>
        </w:rPr>
        <w:t xml:space="preserve">Фибрилляция предсердий (ФП) – наиболее распространённое нарушение ритма сердца, которое </w:t>
      </w:r>
      <w:r w:rsidRPr="00610E93">
        <w:rPr>
          <w:rFonts w:ascii="Times New Roman" w:hAnsi="Times New Roman"/>
          <w:sz w:val="24"/>
          <w:szCs w:val="24"/>
        </w:rPr>
        <w:t xml:space="preserve">ассоциируется с увеличением </w:t>
      </w:r>
      <w:r>
        <w:rPr>
          <w:rFonts w:ascii="Times New Roman" w:hAnsi="Times New Roman"/>
          <w:sz w:val="24"/>
          <w:szCs w:val="24"/>
        </w:rPr>
        <w:t xml:space="preserve">уровня </w:t>
      </w:r>
      <w:r w:rsidRPr="00610E93">
        <w:rPr>
          <w:rFonts w:ascii="Times New Roman" w:hAnsi="Times New Roman"/>
          <w:sz w:val="24"/>
          <w:szCs w:val="24"/>
        </w:rPr>
        <w:t xml:space="preserve">смертности, частоты </w:t>
      </w:r>
      <w:r>
        <w:rPr>
          <w:rFonts w:ascii="Times New Roman" w:hAnsi="Times New Roman"/>
          <w:sz w:val="24"/>
          <w:szCs w:val="24"/>
        </w:rPr>
        <w:t>тромбоэмболических осложнений (ТЭО)</w:t>
      </w:r>
      <w:r w:rsidRPr="00610E93">
        <w:rPr>
          <w:rFonts w:ascii="Times New Roman" w:hAnsi="Times New Roman"/>
          <w:sz w:val="24"/>
          <w:szCs w:val="24"/>
        </w:rPr>
        <w:t xml:space="preserve">, </w:t>
      </w:r>
      <w:r>
        <w:rPr>
          <w:rFonts w:ascii="Times New Roman" w:hAnsi="Times New Roman"/>
          <w:sz w:val="24"/>
          <w:szCs w:val="24"/>
        </w:rPr>
        <w:t xml:space="preserve">развитием </w:t>
      </w:r>
      <w:r w:rsidRPr="00610E93">
        <w:rPr>
          <w:rFonts w:ascii="Times New Roman" w:hAnsi="Times New Roman"/>
          <w:sz w:val="24"/>
          <w:szCs w:val="24"/>
        </w:rPr>
        <w:t xml:space="preserve">сердечной недостаточности, </w:t>
      </w:r>
      <w:r>
        <w:rPr>
          <w:rFonts w:ascii="Times New Roman" w:hAnsi="Times New Roman"/>
          <w:sz w:val="24"/>
          <w:szCs w:val="24"/>
        </w:rPr>
        <w:t>количества</w:t>
      </w:r>
      <w:r w:rsidRPr="00610E93">
        <w:rPr>
          <w:rFonts w:ascii="Times New Roman" w:hAnsi="Times New Roman"/>
          <w:sz w:val="24"/>
          <w:szCs w:val="24"/>
        </w:rPr>
        <w:t xml:space="preserve"> госпитализаций, </w:t>
      </w:r>
      <w:r>
        <w:rPr>
          <w:rFonts w:ascii="Times New Roman" w:hAnsi="Times New Roman"/>
          <w:sz w:val="24"/>
          <w:szCs w:val="24"/>
        </w:rPr>
        <w:t xml:space="preserve">а также с </w:t>
      </w:r>
      <w:r w:rsidRPr="00610E93">
        <w:rPr>
          <w:rFonts w:ascii="Times New Roman" w:hAnsi="Times New Roman"/>
          <w:sz w:val="24"/>
          <w:szCs w:val="24"/>
        </w:rPr>
        <w:t>ухудшением ка</w:t>
      </w:r>
      <w:r>
        <w:rPr>
          <w:rFonts w:ascii="Times New Roman" w:hAnsi="Times New Roman"/>
          <w:sz w:val="24"/>
          <w:szCs w:val="24"/>
        </w:rPr>
        <w:t xml:space="preserve">чества жизни </w:t>
      </w:r>
      <w:r w:rsidRPr="00323FC5">
        <w:rPr>
          <w:rFonts w:ascii="Times New Roman" w:hAnsi="Times New Roman"/>
          <w:sz w:val="24"/>
          <w:szCs w:val="24"/>
        </w:rPr>
        <w:t>[</w:t>
      </w:r>
      <w:r>
        <w:rPr>
          <w:rFonts w:ascii="Times New Roman" w:hAnsi="Times New Roman"/>
          <w:sz w:val="24"/>
          <w:szCs w:val="24"/>
        </w:rPr>
        <w:t>1</w:t>
      </w:r>
      <w:r w:rsidRPr="00323FC5">
        <w:rPr>
          <w:rFonts w:ascii="Times New Roman" w:hAnsi="Times New Roman"/>
          <w:sz w:val="24"/>
          <w:szCs w:val="24"/>
        </w:rPr>
        <w:t>].</w:t>
      </w:r>
    </w:p>
    <w:p w14:paraId="37282475" w14:textId="18F7D47E" w:rsidR="0005338E" w:rsidRDefault="0005338E" w:rsidP="0005338E">
      <w:pPr>
        <w:spacing w:before="100" w:beforeAutospacing="1" w:after="100" w:afterAutospacing="1" w:line="360" w:lineRule="auto"/>
        <w:ind w:firstLine="567"/>
        <w:contextualSpacing/>
        <w:jc w:val="both"/>
        <w:rPr>
          <w:rFonts w:ascii="Times New Roman" w:hAnsi="Times New Roman"/>
          <w:sz w:val="24"/>
          <w:szCs w:val="24"/>
        </w:rPr>
      </w:pPr>
      <w:r>
        <w:rPr>
          <w:rFonts w:ascii="Times New Roman" w:hAnsi="Times New Roman"/>
          <w:sz w:val="24"/>
          <w:szCs w:val="24"/>
        </w:rPr>
        <w:t xml:space="preserve">По некоторым оценкам, число мужчин и женщин, страдающих ФП во всём мире, на 2010 год составило 20,9 и 12,6 миллиона человек соответственно, и с течением времени прогнозируется дальнейший рост больных с данным нарушением ритма, что, в первую очередь, связано со старением населения в индустриально развитых странах </w:t>
      </w:r>
      <w:r w:rsidRPr="002015D5">
        <w:rPr>
          <w:rFonts w:ascii="Times New Roman" w:hAnsi="Times New Roman"/>
          <w:color w:val="000000" w:themeColor="text1"/>
          <w:sz w:val="24"/>
          <w:szCs w:val="24"/>
        </w:rPr>
        <w:t>[</w:t>
      </w:r>
      <w:r w:rsidR="00E211A6">
        <w:rPr>
          <w:rFonts w:ascii="Times New Roman" w:hAnsi="Times New Roman"/>
          <w:color w:val="000000" w:themeColor="text1"/>
          <w:sz w:val="24"/>
          <w:szCs w:val="24"/>
        </w:rPr>
        <w:t>1</w:t>
      </w:r>
      <w:r w:rsidRPr="002015D5">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Pr>
          <w:rFonts w:ascii="Times New Roman" w:hAnsi="Times New Roman"/>
          <w:sz w:val="24"/>
          <w:szCs w:val="24"/>
        </w:rPr>
        <w:t xml:space="preserve">Другой, не менее важной причиной, называют совершенствование способов выявления субклинической ФП </w:t>
      </w:r>
      <w:r w:rsidRPr="001F2A24">
        <w:rPr>
          <w:rFonts w:ascii="Times New Roman" w:hAnsi="Times New Roman"/>
          <w:sz w:val="24"/>
          <w:szCs w:val="24"/>
        </w:rPr>
        <w:t>[</w:t>
      </w:r>
      <w:r w:rsidR="00E211A6">
        <w:rPr>
          <w:rFonts w:ascii="Times New Roman" w:hAnsi="Times New Roman"/>
          <w:sz w:val="24"/>
          <w:szCs w:val="24"/>
        </w:rPr>
        <w:t>2</w:t>
      </w:r>
      <w:r w:rsidRPr="001F2A24">
        <w:rPr>
          <w:rFonts w:ascii="Times New Roman" w:hAnsi="Times New Roman"/>
          <w:sz w:val="24"/>
          <w:szCs w:val="24"/>
        </w:rPr>
        <w:t>]</w:t>
      </w:r>
      <w:r>
        <w:rPr>
          <w:rFonts w:ascii="Times New Roman" w:hAnsi="Times New Roman"/>
          <w:sz w:val="24"/>
          <w:szCs w:val="24"/>
        </w:rPr>
        <w:t xml:space="preserve">. </w:t>
      </w:r>
    </w:p>
    <w:p w14:paraId="1A0B5D2B" w14:textId="015A9722" w:rsidR="0005338E" w:rsidRDefault="0005338E" w:rsidP="0005338E">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Одним из относительно новых методов </w:t>
      </w:r>
      <w:proofErr w:type="spellStart"/>
      <w:r>
        <w:rPr>
          <w:rFonts w:ascii="Times New Roman" w:hAnsi="Times New Roman"/>
          <w:sz w:val="24"/>
          <w:szCs w:val="24"/>
        </w:rPr>
        <w:t>детекции</w:t>
      </w:r>
      <w:proofErr w:type="spellEnd"/>
      <w:r>
        <w:rPr>
          <w:rFonts w:ascii="Times New Roman" w:hAnsi="Times New Roman"/>
          <w:sz w:val="24"/>
          <w:szCs w:val="24"/>
        </w:rPr>
        <w:t xml:space="preserve"> ФП являются сердечные имплантируемые электронные устройства: петлевые регистраторы и электрокардиостимуляторы (ЭКС) с предсердным электродом (двухкамерные ЭКС и имплантируемые </w:t>
      </w:r>
      <w:proofErr w:type="spellStart"/>
      <w:r>
        <w:rPr>
          <w:rFonts w:ascii="Times New Roman" w:hAnsi="Times New Roman"/>
          <w:sz w:val="24"/>
          <w:szCs w:val="24"/>
        </w:rPr>
        <w:t>кардиовертеры</w:t>
      </w:r>
      <w:proofErr w:type="spellEnd"/>
      <w:r>
        <w:rPr>
          <w:rFonts w:ascii="Times New Roman" w:hAnsi="Times New Roman"/>
          <w:sz w:val="24"/>
          <w:szCs w:val="24"/>
        </w:rPr>
        <w:t xml:space="preserve">-дефибрилляторы, аппараты для сердечной </w:t>
      </w:r>
      <w:proofErr w:type="spellStart"/>
      <w:r>
        <w:rPr>
          <w:rFonts w:ascii="Times New Roman" w:hAnsi="Times New Roman"/>
          <w:sz w:val="24"/>
          <w:szCs w:val="24"/>
        </w:rPr>
        <w:t>ресинхронизирующей</w:t>
      </w:r>
      <w:proofErr w:type="spellEnd"/>
      <w:r>
        <w:rPr>
          <w:rFonts w:ascii="Times New Roman" w:hAnsi="Times New Roman"/>
          <w:sz w:val="24"/>
          <w:szCs w:val="24"/>
        </w:rPr>
        <w:t xml:space="preserve"> терапии). Данные устройства обладают функцией регистрации так называемых эпизодов высокой предсердной частоты (ЭВПЧ), которые могут являться фибрилляцией/трепетанием предсердий или иными </w:t>
      </w:r>
      <w:proofErr w:type="spellStart"/>
      <w:r>
        <w:rPr>
          <w:rFonts w:ascii="Times New Roman" w:hAnsi="Times New Roman"/>
          <w:sz w:val="24"/>
          <w:szCs w:val="24"/>
        </w:rPr>
        <w:t>наджелудочковыми</w:t>
      </w:r>
      <w:proofErr w:type="spellEnd"/>
      <w:r>
        <w:rPr>
          <w:rFonts w:ascii="Times New Roman" w:hAnsi="Times New Roman"/>
          <w:sz w:val="24"/>
          <w:szCs w:val="24"/>
        </w:rPr>
        <w:t xml:space="preserve"> тахикардиями. </w:t>
      </w:r>
      <w:r w:rsidRPr="00457F2A">
        <w:rPr>
          <w:rFonts w:ascii="Times New Roman" w:hAnsi="Times New Roman"/>
          <w:sz w:val="24"/>
          <w:szCs w:val="24"/>
        </w:rPr>
        <w:t xml:space="preserve">В памяти ЭКС сохраняются сведения о количестве и длительности </w:t>
      </w:r>
      <w:r>
        <w:rPr>
          <w:rFonts w:ascii="Times New Roman" w:hAnsi="Times New Roman"/>
          <w:sz w:val="24"/>
          <w:szCs w:val="24"/>
        </w:rPr>
        <w:t xml:space="preserve">ЭВПЧ, а также их </w:t>
      </w:r>
      <w:r>
        <w:rPr>
          <w:rFonts w:ascii="Times New Roman" w:hAnsi="Times New Roman"/>
          <w:sz w:val="24"/>
          <w:szCs w:val="24"/>
        </w:rPr>
        <w:lastRenderedPageBreak/>
        <w:t>распределение во времени. Кроме этого,</w:t>
      </w:r>
      <w:r w:rsidRPr="00457F2A">
        <w:rPr>
          <w:rFonts w:ascii="Times New Roman" w:hAnsi="Times New Roman"/>
          <w:sz w:val="24"/>
          <w:szCs w:val="24"/>
        </w:rPr>
        <w:t xml:space="preserve"> возможна запись </w:t>
      </w:r>
      <w:r>
        <w:rPr>
          <w:rFonts w:ascii="Times New Roman" w:hAnsi="Times New Roman"/>
          <w:sz w:val="24"/>
          <w:szCs w:val="24"/>
        </w:rPr>
        <w:t xml:space="preserve">внутрисердечных </w:t>
      </w:r>
      <w:proofErr w:type="spellStart"/>
      <w:r>
        <w:rPr>
          <w:rFonts w:ascii="Times New Roman" w:hAnsi="Times New Roman"/>
          <w:sz w:val="24"/>
          <w:szCs w:val="24"/>
        </w:rPr>
        <w:t>электрограмм</w:t>
      </w:r>
      <w:proofErr w:type="spellEnd"/>
      <w:r>
        <w:rPr>
          <w:rFonts w:ascii="Times New Roman" w:hAnsi="Times New Roman"/>
          <w:sz w:val="24"/>
          <w:szCs w:val="24"/>
        </w:rPr>
        <w:t xml:space="preserve"> </w:t>
      </w:r>
      <w:r w:rsidRPr="0007141D">
        <w:rPr>
          <w:rFonts w:ascii="Times New Roman" w:hAnsi="Times New Roman"/>
          <w:sz w:val="24"/>
          <w:szCs w:val="24"/>
        </w:rPr>
        <w:t>(В</w:t>
      </w:r>
      <w:r>
        <w:rPr>
          <w:rFonts w:ascii="Times New Roman" w:hAnsi="Times New Roman"/>
          <w:sz w:val="24"/>
          <w:szCs w:val="24"/>
        </w:rPr>
        <w:t>ЭГМ</w:t>
      </w:r>
      <w:r w:rsidRPr="0007141D">
        <w:rPr>
          <w:rFonts w:ascii="Times New Roman" w:hAnsi="Times New Roman"/>
          <w:sz w:val="24"/>
          <w:szCs w:val="24"/>
        </w:rPr>
        <w:t>),</w:t>
      </w:r>
      <w:r w:rsidRPr="00457F2A">
        <w:rPr>
          <w:rFonts w:ascii="Times New Roman" w:hAnsi="Times New Roman"/>
          <w:sz w:val="24"/>
          <w:szCs w:val="24"/>
        </w:rPr>
        <w:t xml:space="preserve"> анализ которых </w:t>
      </w:r>
      <w:r>
        <w:rPr>
          <w:rFonts w:ascii="Times New Roman" w:hAnsi="Times New Roman"/>
          <w:sz w:val="24"/>
          <w:szCs w:val="24"/>
        </w:rPr>
        <w:t xml:space="preserve">практически всегда </w:t>
      </w:r>
      <w:r w:rsidRPr="00457F2A">
        <w:rPr>
          <w:rFonts w:ascii="Times New Roman" w:hAnsi="Times New Roman"/>
          <w:sz w:val="24"/>
          <w:szCs w:val="24"/>
        </w:rPr>
        <w:t>позволяет точно идентифицировать</w:t>
      </w:r>
      <w:r>
        <w:rPr>
          <w:rFonts w:ascii="Times New Roman" w:hAnsi="Times New Roman"/>
          <w:sz w:val="24"/>
          <w:szCs w:val="24"/>
        </w:rPr>
        <w:t xml:space="preserve"> характер нарушения ритма и исключить ложную </w:t>
      </w:r>
      <w:proofErr w:type="spellStart"/>
      <w:r>
        <w:rPr>
          <w:rFonts w:ascii="Times New Roman" w:hAnsi="Times New Roman"/>
          <w:sz w:val="24"/>
          <w:szCs w:val="24"/>
        </w:rPr>
        <w:t>детекцию</w:t>
      </w:r>
      <w:proofErr w:type="spellEnd"/>
      <w:r>
        <w:rPr>
          <w:rFonts w:ascii="Times New Roman" w:hAnsi="Times New Roman"/>
          <w:sz w:val="24"/>
          <w:szCs w:val="24"/>
        </w:rPr>
        <w:t xml:space="preserve"> аритмии. Данный </w:t>
      </w:r>
      <w:r w:rsidRPr="00457F2A">
        <w:rPr>
          <w:rFonts w:ascii="Times New Roman" w:hAnsi="Times New Roman"/>
          <w:sz w:val="24"/>
          <w:szCs w:val="24"/>
        </w:rPr>
        <w:t xml:space="preserve">способ </w:t>
      </w:r>
      <w:r>
        <w:rPr>
          <w:rFonts w:ascii="Times New Roman" w:hAnsi="Times New Roman"/>
          <w:sz w:val="24"/>
          <w:szCs w:val="24"/>
        </w:rPr>
        <w:t xml:space="preserve">выявления аритмии </w:t>
      </w:r>
      <w:r w:rsidRPr="00457F2A">
        <w:rPr>
          <w:rFonts w:ascii="Times New Roman" w:hAnsi="Times New Roman"/>
          <w:sz w:val="24"/>
          <w:szCs w:val="24"/>
        </w:rPr>
        <w:t>становится всё более актуальным</w:t>
      </w:r>
      <w:r>
        <w:rPr>
          <w:rFonts w:ascii="Times New Roman" w:hAnsi="Times New Roman"/>
          <w:sz w:val="24"/>
          <w:szCs w:val="24"/>
        </w:rPr>
        <w:t xml:space="preserve"> в связи с частой встречаемостью бессимптомных пароксизмов ФП </w:t>
      </w:r>
      <w:r w:rsidRPr="00760274">
        <w:rPr>
          <w:rFonts w:ascii="Times New Roman" w:hAnsi="Times New Roman"/>
          <w:sz w:val="24"/>
          <w:szCs w:val="24"/>
        </w:rPr>
        <w:t>[</w:t>
      </w:r>
      <w:r w:rsidR="00273B45">
        <w:rPr>
          <w:rFonts w:ascii="Times New Roman" w:hAnsi="Times New Roman"/>
          <w:sz w:val="24"/>
          <w:szCs w:val="24"/>
        </w:rPr>
        <w:t>3</w:t>
      </w:r>
      <w:r w:rsidRPr="00760274">
        <w:rPr>
          <w:rFonts w:ascii="Times New Roman" w:hAnsi="Times New Roman"/>
          <w:sz w:val="24"/>
          <w:szCs w:val="24"/>
        </w:rPr>
        <w:t>]</w:t>
      </w:r>
      <w:r>
        <w:rPr>
          <w:rFonts w:ascii="Times New Roman" w:hAnsi="Times New Roman"/>
          <w:sz w:val="24"/>
          <w:szCs w:val="24"/>
        </w:rPr>
        <w:t xml:space="preserve">. По данным проведённых исследований у 10-15 % пациентов с ЭКС обнаружены ЭВПЧ </w:t>
      </w:r>
      <w:r w:rsidRPr="007C302D">
        <w:rPr>
          <w:rFonts w:ascii="Times New Roman" w:hAnsi="Times New Roman"/>
          <w:sz w:val="24"/>
          <w:szCs w:val="24"/>
        </w:rPr>
        <w:t>[</w:t>
      </w:r>
      <w:r w:rsidR="00273B45">
        <w:rPr>
          <w:rFonts w:ascii="Times New Roman" w:hAnsi="Times New Roman"/>
          <w:sz w:val="24"/>
          <w:szCs w:val="24"/>
        </w:rPr>
        <w:t>4</w:t>
      </w:r>
      <w:r w:rsidRPr="007C302D">
        <w:rPr>
          <w:rFonts w:ascii="Times New Roman" w:hAnsi="Times New Roman"/>
          <w:sz w:val="24"/>
          <w:szCs w:val="24"/>
        </w:rPr>
        <w:t>]</w:t>
      </w:r>
      <w:r>
        <w:rPr>
          <w:rFonts w:ascii="Times New Roman" w:hAnsi="Times New Roman"/>
          <w:sz w:val="24"/>
          <w:szCs w:val="24"/>
        </w:rPr>
        <w:t>. Клинически значимыми считаются эпизоды</w:t>
      </w:r>
      <w:r w:rsidRPr="004C05F8">
        <w:rPr>
          <w:rFonts w:ascii="Times New Roman" w:hAnsi="Times New Roman"/>
          <w:sz w:val="24"/>
          <w:szCs w:val="24"/>
        </w:rPr>
        <w:t xml:space="preserve"> </w:t>
      </w:r>
      <w:r>
        <w:rPr>
          <w:rFonts w:ascii="Times New Roman" w:hAnsi="Times New Roman"/>
          <w:sz w:val="24"/>
          <w:szCs w:val="24"/>
        </w:rPr>
        <w:t>длительностью более 5-6 минут, наличие которых ассоциировано с повышенным риском развития ТЭО в 2-3 раза [</w:t>
      </w:r>
      <w:r w:rsidR="00273B45">
        <w:rPr>
          <w:rFonts w:ascii="Times New Roman" w:hAnsi="Times New Roman"/>
          <w:sz w:val="24"/>
          <w:szCs w:val="24"/>
        </w:rPr>
        <w:t>5, 6</w:t>
      </w:r>
      <w:r>
        <w:rPr>
          <w:rFonts w:ascii="Times New Roman" w:hAnsi="Times New Roman"/>
          <w:sz w:val="24"/>
          <w:szCs w:val="24"/>
        </w:rPr>
        <w:t>].  При выявлении</w:t>
      </w:r>
      <w:r w:rsidRPr="00834BAC">
        <w:rPr>
          <w:rFonts w:ascii="Times New Roman" w:hAnsi="Times New Roman"/>
          <w:sz w:val="24"/>
          <w:szCs w:val="24"/>
        </w:rPr>
        <w:t xml:space="preserve"> </w:t>
      </w:r>
      <w:r>
        <w:rPr>
          <w:rFonts w:ascii="Times New Roman" w:hAnsi="Times New Roman"/>
          <w:sz w:val="24"/>
          <w:szCs w:val="24"/>
        </w:rPr>
        <w:t xml:space="preserve">ЭВПЧ рекомендовано дальнейшее обследование на предмет верификации нарушения ритма сердца (в том числе, анализ ВЭГМ) и оценка риска ТЭО для решения вопроса о назначении терапии оральными антикоагулянтами (ОАК) </w:t>
      </w:r>
      <w:r w:rsidRPr="003C758F">
        <w:rPr>
          <w:rFonts w:ascii="Times New Roman" w:hAnsi="Times New Roman"/>
          <w:sz w:val="24"/>
          <w:szCs w:val="24"/>
        </w:rPr>
        <w:t>[</w:t>
      </w:r>
      <w:r w:rsidR="00273B45">
        <w:rPr>
          <w:rFonts w:ascii="Times New Roman" w:hAnsi="Times New Roman"/>
          <w:sz w:val="24"/>
          <w:szCs w:val="24"/>
        </w:rPr>
        <w:t>4</w:t>
      </w:r>
      <w:r w:rsidRPr="003C758F">
        <w:rPr>
          <w:rFonts w:ascii="Times New Roman" w:hAnsi="Times New Roman"/>
          <w:sz w:val="24"/>
          <w:szCs w:val="24"/>
        </w:rPr>
        <w:t>]</w:t>
      </w:r>
      <w:r>
        <w:rPr>
          <w:rFonts w:ascii="Times New Roman" w:hAnsi="Times New Roman"/>
          <w:sz w:val="24"/>
          <w:szCs w:val="24"/>
        </w:rPr>
        <w:t xml:space="preserve">. </w:t>
      </w:r>
    </w:p>
    <w:p w14:paraId="41020B18" w14:textId="77777777" w:rsidR="0005338E" w:rsidRDefault="0005338E" w:rsidP="0005338E">
      <w:pPr>
        <w:spacing w:line="360" w:lineRule="auto"/>
        <w:ind w:firstLine="567"/>
        <w:contextualSpacing/>
        <w:jc w:val="both"/>
        <w:rPr>
          <w:rFonts w:ascii="Times New Roman" w:hAnsi="Times New Roman"/>
          <w:sz w:val="24"/>
          <w:szCs w:val="24"/>
        </w:rPr>
      </w:pPr>
      <w:r>
        <w:rPr>
          <w:rFonts w:ascii="Times New Roman" w:hAnsi="Times New Roman"/>
          <w:sz w:val="24"/>
          <w:szCs w:val="24"/>
        </w:rPr>
        <w:t>Целью данной работы являлась оценка распространённости ФП у пациентов с различными видами ЭКС, а также выявление ассоциированных факторов риска.</w:t>
      </w:r>
    </w:p>
    <w:p w14:paraId="067074B5" w14:textId="77777777" w:rsidR="0005338E" w:rsidRDefault="0005338E" w:rsidP="0005338E">
      <w:pPr>
        <w:spacing w:line="360" w:lineRule="auto"/>
        <w:ind w:firstLine="567"/>
        <w:contextualSpacing/>
        <w:jc w:val="both"/>
        <w:rPr>
          <w:rFonts w:ascii="Times New Roman" w:hAnsi="Times New Roman"/>
          <w:sz w:val="24"/>
          <w:szCs w:val="24"/>
        </w:rPr>
      </w:pPr>
    </w:p>
    <w:p w14:paraId="233A0731" w14:textId="77777777" w:rsidR="0005338E" w:rsidRDefault="0005338E" w:rsidP="0005338E">
      <w:pPr>
        <w:spacing w:line="360" w:lineRule="auto"/>
        <w:ind w:firstLine="567"/>
        <w:contextualSpacing/>
        <w:jc w:val="both"/>
        <w:rPr>
          <w:rFonts w:ascii="Times New Roman" w:hAnsi="Times New Roman"/>
          <w:b/>
          <w:sz w:val="24"/>
          <w:szCs w:val="24"/>
        </w:rPr>
      </w:pPr>
    </w:p>
    <w:p w14:paraId="0432A890" w14:textId="77777777" w:rsidR="0005338E" w:rsidRDefault="0005338E" w:rsidP="0005338E">
      <w:pPr>
        <w:spacing w:line="360" w:lineRule="auto"/>
        <w:ind w:firstLine="567"/>
        <w:contextualSpacing/>
        <w:jc w:val="both"/>
        <w:rPr>
          <w:rFonts w:ascii="Times New Roman" w:hAnsi="Times New Roman"/>
          <w:b/>
          <w:sz w:val="24"/>
          <w:szCs w:val="24"/>
        </w:rPr>
      </w:pPr>
      <w:r w:rsidRPr="00CD22FB">
        <w:rPr>
          <w:rFonts w:ascii="Times New Roman" w:hAnsi="Times New Roman"/>
          <w:b/>
          <w:sz w:val="24"/>
          <w:szCs w:val="24"/>
        </w:rPr>
        <w:t>МАТЕРИАЛЫ И МЕТОДЫ</w:t>
      </w:r>
    </w:p>
    <w:p w14:paraId="267953E9" w14:textId="77777777" w:rsidR="0005338E" w:rsidRDefault="0005338E" w:rsidP="0005338E">
      <w:pPr>
        <w:spacing w:line="360" w:lineRule="auto"/>
        <w:ind w:firstLine="567"/>
        <w:contextualSpacing/>
        <w:jc w:val="both"/>
        <w:rPr>
          <w:rFonts w:ascii="Times New Roman" w:hAnsi="Times New Roman"/>
          <w:b/>
          <w:sz w:val="24"/>
          <w:szCs w:val="24"/>
        </w:rPr>
      </w:pPr>
    </w:p>
    <w:p w14:paraId="1794E2F2" w14:textId="77777777" w:rsidR="0005338E" w:rsidRPr="00E97DB4" w:rsidRDefault="0005338E" w:rsidP="000533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Проведенная работа является </w:t>
      </w:r>
      <w:proofErr w:type="spellStart"/>
      <w:r>
        <w:rPr>
          <w:rFonts w:ascii="Times New Roman" w:hAnsi="Times New Roman" w:cs="Times New Roman"/>
          <w:sz w:val="24"/>
          <w:szCs w:val="24"/>
        </w:rPr>
        <w:t>проспективным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одноцентровым</w:t>
      </w:r>
      <w:proofErr w:type="spellEnd"/>
      <w:r>
        <w:rPr>
          <w:rFonts w:ascii="Times New Roman" w:hAnsi="Times New Roman" w:cs="Times New Roman"/>
          <w:sz w:val="24"/>
          <w:szCs w:val="24"/>
        </w:rPr>
        <w:t xml:space="preserve"> исследованием, в которое последовательно включали пациентов</w:t>
      </w:r>
      <w:r w:rsidRPr="00E97DB4">
        <w:rPr>
          <w:rFonts w:ascii="Times New Roman" w:hAnsi="Times New Roman" w:cs="Times New Roman"/>
          <w:sz w:val="24"/>
          <w:szCs w:val="24"/>
        </w:rPr>
        <w:t xml:space="preserve"> обоих полов в возрасте ст</w:t>
      </w:r>
      <w:r>
        <w:rPr>
          <w:rFonts w:ascii="Times New Roman" w:hAnsi="Times New Roman" w:cs="Times New Roman"/>
          <w:sz w:val="24"/>
          <w:szCs w:val="24"/>
        </w:rPr>
        <w:t xml:space="preserve">арше 18 лет </w:t>
      </w:r>
      <w:r w:rsidRPr="00E97DB4">
        <w:rPr>
          <w:rFonts w:ascii="Times New Roman" w:hAnsi="Times New Roman" w:cs="Times New Roman"/>
          <w:sz w:val="24"/>
          <w:szCs w:val="24"/>
        </w:rPr>
        <w:t xml:space="preserve">без </w:t>
      </w:r>
      <w:r>
        <w:rPr>
          <w:rFonts w:ascii="Times New Roman" w:hAnsi="Times New Roman" w:cs="Times New Roman"/>
          <w:sz w:val="24"/>
          <w:szCs w:val="24"/>
        </w:rPr>
        <w:t>документированной ФП</w:t>
      </w:r>
      <w:r w:rsidRPr="00E97DB4">
        <w:rPr>
          <w:rFonts w:ascii="Times New Roman" w:hAnsi="Times New Roman" w:cs="Times New Roman"/>
          <w:sz w:val="24"/>
          <w:szCs w:val="24"/>
        </w:rPr>
        <w:t xml:space="preserve"> в анамнезе, </w:t>
      </w:r>
      <w:r w:rsidRPr="003B4FED">
        <w:rPr>
          <w:rFonts w:ascii="Times New Roman" w:hAnsi="Times New Roman" w:cs="Times New Roman"/>
          <w:sz w:val="24"/>
          <w:szCs w:val="24"/>
        </w:rPr>
        <w:t xml:space="preserve">имеющих стандартные показания для имплантации/смены двух- или </w:t>
      </w:r>
      <w:proofErr w:type="spellStart"/>
      <w:r w:rsidRPr="003B4FED">
        <w:rPr>
          <w:rFonts w:ascii="Times New Roman" w:hAnsi="Times New Roman" w:cs="Times New Roman"/>
          <w:sz w:val="24"/>
          <w:szCs w:val="24"/>
        </w:rPr>
        <w:t>трёхкамерного</w:t>
      </w:r>
      <w:proofErr w:type="spellEnd"/>
      <w:r w:rsidRPr="003B4FED">
        <w:rPr>
          <w:rFonts w:ascii="Times New Roman" w:hAnsi="Times New Roman" w:cs="Times New Roman"/>
          <w:sz w:val="24"/>
          <w:szCs w:val="24"/>
        </w:rPr>
        <w:t xml:space="preserve"> </w:t>
      </w:r>
      <w:r>
        <w:rPr>
          <w:rFonts w:ascii="Times New Roman" w:hAnsi="Times New Roman" w:cs="Times New Roman"/>
          <w:sz w:val="24"/>
          <w:szCs w:val="24"/>
        </w:rPr>
        <w:t>ЭКС</w:t>
      </w:r>
      <w:r w:rsidRPr="003B4FED">
        <w:rPr>
          <w:rFonts w:ascii="Times New Roman" w:hAnsi="Times New Roman" w:cs="Times New Roman"/>
          <w:sz w:val="24"/>
          <w:szCs w:val="24"/>
        </w:rPr>
        <w:t>, имеющего функцию записи и хранения информации о нарушениях ритма.</w:t>
      </w:r>
      <w:r>
        <w:rPr>
          <w:rFonts w:ascii="Times New Roman" w:hAnsi="Times New Roman" w:cs="Times New Roman"/>
          <w:sz w:val="24"/>
          <w:szCs w:val="24"/>
        </w:rPr>
        <w:t xml:space="preserve"> Всем пациентам</w:t>
      </w:r>
      <w:r w:rsidRPr="008D61E3">
        <w:rPr>
          <w:rFonts w:ascii="Times New Roman" w:hAnsi="Times New Roman" w:cs="Times New Roman"/>
          <w:sz w:val="24"/>
          <w:szCs w:val="24"/>
        </w:rPr>
        <w:t xml:space="preserve"> на этапе включения </w:t>
      </w:r>
      <w:r>
        <w:rPr>
          <w:rFonts w:ascii="Times New Roman" w:hAnsi="Times New Roman" w:cs="Times New Roman"/>
          <w:sz w:val="24"/>
          <w:szCs w:val="24"/>
        </w:rPr>
        <w:t xml:space="preserve">предлагалось ознакомиться и </w:t>
      </w:r>
      <w:r w:rsidRPr="008D61E3">
        <w:rPr>
          <w:rFonts w:ascii="Times New Roman" w:hAnsi="Times New Roman" w:cs="Times New Roman"/>
          <w:sz w:val="24"/>
          <w:szCs w:val="24"/>
        </w:rPr>
        <w:t>подпис</w:t>
      </w:r>
      <w:r>
        <w:rPr>
          <w:rFonts w:ascii="Times New Roman" w:hAnsi="Times New Roman" w:cs="Times New Roman"/>
          <w:sz w:val="24"/>
          <w:szCs w:val="24"/>
        </w:rPr>
        <w:t xml:space="preserve">ать информированное </w:t>
      </w:r>
      <w:r w:rsidRPr="008D61E3">
        <w:rPr>
          <w:rFonts w:ascii="Times New Roman" w:hAnsi="Times New Roman" w:cs="Times New Roman"/>
          <w:sz w:val="24"/>
          <w:szCs w:val="24"/>
        </w:rPr>
        <w:t>согласие</w:t>
      </w:r>
      <w:r>
        <w:rPr>
          <w:rFonts w:ascii="Times New Roman" w:hAnsi="Times New Roman" w:cs="Times New Roman"/>
          <w:sz w:val="24"/>
          <w:szCs w:val="24"/>
        </w:rPr>
        <w:t xml:space="preserve"> на участие</w:t>
      </w:r>
      <w:r w:rsidRPr="008D61E3">
        <w:rPr>
          <w:rFonts w:ascii="Times New Roman" w:hAnsi="Times New Roman" w:cs="Times New Roman"/>
          <w:sz w:val="24"/>
          <w:szCs w:val="24"/>
        </w:rPr>
        <w:t>.</w:t>
      </w:r>
    </w:p>
    <w:p w14:paraId="45D31476" w14:textId="77777777" w:rsidR="0005338E" w:rsidRDefault="0005338E" w:rsidP="000533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Критериями</w:t>
      </w:r>
      <w:r w:rsidRPr="00E97DB4">
        <w:rPr>
          <w:rFonts w:ascii="Times New Roman" w:hAnsi="Times New Roman" w:cs="Times New Roman"/>
          <w:sz w:val="24"/>
          <w:szCs w:val="24"/>
        </w:rPr>
        <w:t xml:space="preserve"> </w:t>
      </w:r>
      <w:proofErr w:type="spellStart"/>
      <w:r w:rsidRPr="00E97DB4">
        <w:rPr>
          <w:rFonts w:ascii="Times New Roman" w:hAnsi="Times New Roman" w:cs="Times New Roman"/>
          <w:sz w:val="24"/>
          <w:szCs w:val="24"/>
        </w:rPr>
        <w:t>невключения</w:t>
      </w:r>
      <w:proofErr w:type="spellEnd"/>
      <w:r w:rsidRPr="00E97DB4">
        <w:rPr>
          <w:rFonts w:ascii="Times New Roman" w:hAnsi="Times New Roman" w:cs="Times New Roman"/>
          <w:sz w:val="24"/>
          <w:szCs w:val="24"/>
        </w:rPr>
        <w:t xml:space="preserve"> </w:t>
      </w:r>
      <w:r>
        <w:rPr>
          <w:rFonts w:ascii="Times New Roman" w:hAnsi="Times New Roman" w:cs="Times New Roman"/>
          <w:sz w:val="24"/>
          <w:szCs w:val="24"/>
        </w:rPr>
        <w:t xml:space="preserve">являлись: обратимые факторы риска ФП (например, </w:t>
      </w:r>
      <w:r w:rsidRPr="00E97DB4">
        <w:rPr>
          <w:rFonts w:ascii="Times New Roman" w:hAnsi="Times New Roman" w:cs="Times New Roman"/>
          <w:sz w:val="24"/>
          <w:szCs w:val="24"/>
        </w:rPr>
        <w:t>инфекционный эндокардит, острый перикардит</w:t>
      </w:r>
      <w:r>
        <w:rPr>
          <w:rFonts w:ascii="Times New Roman" w:hAnsi="Times New Roman" w:cs="Times New Roman"/>
          <w:sz w:val="24"/>
          <w:szCs w:val="24"/>
        </w:rPr>
        <w:t>/</w:t>
      </w:r>
      <w:r w:rsidRPr="00E97DB4">
        <w:rPr>
          <w:rFonts w:ascii="Times New Roman" w:hAnsi="Times New Roman" w:cs="Times New Roman"/>
          <w:sz w:val="24"/>
          <w:szCs w:val="24"/>
        </w:rPr>
        <w:t xml:space="preserve">миокардит, </w:t>
      </w:r>
      <w:proofErr w:type="spellStart"/>
      <w:r w:rsidRPr="00E97DB4">
        <w:rPr>
          <w:rFonts w:ascii="Times New Roman" w:hAnsi="Times New Roman" w:cs="Times New Roman"/>
          <w:sz w:val="24"/>
          <w:szCs w:val="24"/>
        </w:rPr>
        <w:t>некорригированный</w:t>
      </w:r>
      <w:proofErr w:type="spellEnd"/>
      <w:r w:rsidRPr="00E97DB4">
        <w:rPr>
          <w:rFonts w:ascii="Times New Roman" w:hAnsi="Times New Roman" w:cs="Times New Roman"/>
          <w:sz w:val="24"/>
          <w:szCs w:val="24"/>
        </w:rPr>
        <w:t xml:space="preserve"> гипертиреоз</w:t>
      </w:r>
      <w:r>
        <w:rPr>
          <w:rFonts w:ascii="Times New Roman" w:hAnsi="Times New Roman" w:cs="Times New Roman"/>
          <w:sz w:val="24"/>
          <w:szCs w:val="24"/>
        </w:rPr>
        <w:t>), т</w:t>
      </w:r>
      <w:r w:rsidRPr="00E97DB4">
        <w:rPr>
          <w:rFonts w:ascii="Times New Roman" w:hAnsi="Times New Roman" w:cs="Times New Roman"/>
          <w:sz w:val="24"/>
          <w:szCs w:val="24"/>
        </w:rPr>
        <w:t>ерминальные стадии хронических заболеваний</w:t>
      </w:r>
      <w:r>
        <w:rPr>
          <w:rFonts w:ascii="Times New Roman" w:hAnsi="Times New Roman" w:cs="Times New Roman"/>
          <w:sz w:val="24"/>
          <w:szCs w:val="24"/>
        </w:rPr>
        <w:t>, высокая вероятность несоблюдения графика посещений лечебного учреждения.</w:t>
      </w:r>
    </w:p>
    <w:p w14:paraId="4DC4D5B2" w14:textId="77777777" w:rsidR="0005338E" w:rsidRPr="00F71B67" w:rsidRDefault="0005338E" w:rsidP="000533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включении в исследование (в период госпитализации) всем больным выполнялся общий и биохимический анализ крови, а также определялся уровень тиреотропного гормона. Проводилось </w:t>
      </w:r>
      <w:proofErr w:type="spellStart"/>
      <w:r>
        <w:rPr>
          <w:rFonts w:ascii="Times New Roman" w:hAnsi="Times New Roman" w:cs="Times New Roman"/>
          <w:sz w:val="24"/>
          <w:szCs w:val="24"/>
        </w:rPr>
        <w:t>эхокардиографическое</w:t>
      </w:r>
      <w:proofErr w:type="spellEnd"/>
      <w:r>
        <w:rPr>
          <w:rFonts w:ascii="Times New Roman" w:hAnsi="Times New Roman" w:cs="Times New Roman"/>
          <w:sz w:val="24"/>
          <w:szCs w:val="24"/>
        </w:rPr>
        <w:t xml:space="preserve"> исследование по стандартному протоколу. Первичное программирование системы стимуляции осуществлялось в течение 3 дней после операции. Устанавливался режим стимуляции </w:t>
      </w:r>
      <w:r>
        <w:rPr>
          <w:rFonts w:ascii="Times New Roman" w:hAnsi="Times New Roman" w:cs="Times New Roman"/>
          <w:sz w:val="24"/>
          <w:szCs w:val="24"/>
          <w:lang w:val="en-US"/>
        </w:rPr>
        <w:t>DDD</w:t>
      </w:r>
      <w:r w:rsidRPr="00F71B67">
        <w:rPr>
          <w:rFonts w:ascii="Times New Roman" w:hAnsi="Times New Roman" w:cs="Times New Roman"/>
          <w:sz w:val="24"/>
          <w:szCs w:val="24"/>
        </w:rPr>
        <w:t>(</w:t>
      </w:r>
      <w:r>
        <w:rPr>
          <w:rFonts w:ascii="Times New Roman" w:hAnsi="Times New Roman" w:cs="Times New Roman"/>
          <w:sz w:val="24"/>
          <w:szCs w:val="24"/>
          <w:lang w:val="en-US"/>
        </w:rPr>
        <w:t>R</w:t>
      </w:r>
      <w:r w:rsidRPr="00F71B67">
        <w:rPr>
          <w:rFonts w:ascii="Times New Roman" w:hAnsi="Times New Roman" w:cs="Times New Roman"/>
          <w:sz w:val="24"/>
          <w:szCs w:val="24"/>
        </w:rPr>
        <w:t>)</w:t>
      </w:r>
      <w:r>
        <w:rPr>
          <w:rFonts w:ascii="Times New Roman" w:hAnsi="Times New Roman" w:cs="Times New Roman"/>
          <w:sz w:val="24"/>
          <w:szCs w:val="24"/>
        </w:rPr>
        <w:t xml:space="preserve">, у пациентов с синдромом слабости синусового узла (СССУ) и сохранной атриовентрикулярной проводимостью использовались алгоритмы минимизации правожелудочковой стимуляции. Кроме этого, активировались функция записи ВЭГМ и алгоритм переключения режимов стимуляции (так называемый </w:t>
      </w:r>
      <w:proofErr w:type="spellStart"/>
      <w:r>
        <w:rPr>
          <w:rFonts w:ascii="Times New Roman" w:hAnsi="Times New Roman" w:cs="Times New Roman"/>
          <w:sz w:val="24"/>
          <w:szCs w:val="24"/>
          <w:lang w:val="en-US"/>
        </w:rPr>
        <w:t>AutoModeSwitch</w:t>
      </w:r>
      <w:proofErr w:type="spellEnd"/>
      <w:r>
        <w:rPr>
          <w:rFonts w:ascii="Times New Roman" w:hAnsi="Times New Roman" w:cs="Times New Roman"/>
          <w:sz w:val="24"/>
          <w:szCs w:val="24"/>
        </w:rPr>
        <w:t xml:space="preserve"> или </w:t>
      </w:r>
      <w:r>
        <w:rPr>
          <w:rFonts w:ascii="Times New Roman" w:hAnsi="Times New Roman" w:cs="Times New Roman"/>
          <w:sz w:val="24"/>
          <w:szCs w:val="24"/>
          <w:lang w:val="en-US"/>
        </w:rPr>
        <w:t>A</w:t>
      </w:r>
      <w:r w:rsidRPr="004C265D">
        <w:rPr>
          <w:rFonts w:ascii="Times New Roman" w:hAnsi="Times New Roman" w:cs="Times New Roman"/>
          <w:sz w:val="24"/>
          <w:szCs w:val="24"/>
        </w:rPr>
        <w:t>-</w:t>
      </w:r>
      <w:proofErr w:type="spellStart"/>
      <w:r>
        <w:rPr>
          <w:rFonts w:ascii="Times New Roman" w:hAnsi="Times New Roman" w:cs="Times New Roman"/>
          <w:sz w:val="24"/>
          <w:szCs w:val="24"/>
          <w:lang w:val="en-US"/>
        </w:rPr>
        <w:t>Tachy</w:t>
      </w:r>
      <w:proofErr w:type="spellEnd"/>
      <w:r w:rsidRPr="00CA60B1">
        <w:rPr>
          <w:rFonts w:ascii="Times New Roman" w:hAnsi="Times New Roman" w:cs="Times New Roman"/>
          <w:sz w:val="24"/>
          <w:szCs w:val="24"/>
        </w:rPr>
        <w:t xml:space="preserve"> </w:t>
      </w:r>
      <w:r>
        <w:rPr>
          <w:rFonts w:ascii="Times New Roman" w:hAnsi="Times New Roman" w:cs="Times New Roman"/>
          <w:sz w:val="24"/>
          <w:szCs w:val="24"/>
          <w:lang w:val="en-US"/>
        </w:rPr>
        <w:t>Response</w:t>
      </w:r>
      <w:r w:rsidRPr="004C265D">
        <w:rPr>
          <w:rFonts w:ascii="Times New Roman" w:hAnsi="Times New Roman" w:cs="Times New Roman"/>
          <w:sz w:val="24"/>
          <w:szCs w:val="24"/>
        </w:rPr>
        <w:t>)</w:t>
      </w:r>
      <w:r>
        <w:rPr>
          <w:rFonts w:ascii="Times New Roman" w:hAnsi="Times New Roman" w:cs="Times New Roman"/>
          <w:sz w:val="24"/>
          <w:szCs w:val="24"/>
        </w:rPr>
        <w:t xml:space="preserve">, если они не были активны по умолчанию. Частота </w:t>
      </w:r>
      <w:proofErr w:type="spellStart"/>
      <w:r>
        <w:rPr>
          <w:rFonts w:ascii="Times New Roman" w:hAnsi="Times New Roman" w:cs="Times New Roman"/>
          <w:sz w:val="24"/>
          <w:szCs w:val="24"/>
        </w:rPr>
        <w:lastRenderedPageBreak/>
        <w:t>детекции</w:t>
      </w:r>
      <w:proofErr w:type="spellEnd"/>
      <w:r>
        <w:rPr>
          <w:rFonts w:ascii="Times New Roman" w:hAnsi="Times New Roman" w:cs="Times New Roman"/>
          <w:sz w:val="24"/>
          <w:szCs w:val="24"/>
        </w:rPr>
        <w:t xml:space="preserve"> предсердных нарушений ритма сердца составляла 175-180 ударов в минуту в зависимости от заданных параметров ЭКС. Остальные настройки устройства оставались номинальными.</w:t>
      </w:r>
    </w:p>
    <w:p w14:paraId="1346FDE9" w14:textId="77777777" w:rsidR="0005338E" w:rsidRDefault="0005338E" w:rsidP="000533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Каждому пациенту был выдан дневник для регистрации таких ощущений как учащённое сердцебиение, перебои в работе сердца, одышка, дискомфорт за грудиной и т.п. Пациент не был ограничен инструкциями врача и мог фиксировать в дневнике любые обращающие на себя внимание симптомы. График обследования предусматривал наблюдение через 3, 6, 9 и 12 месяцев после имплантации устройства. В ходе визитов оценивались данные памяти ЭКС, такие как процент предсердной и желудочковой стимуляции, гистограммы частоты сердечных сокращений, информация об ЭВПЧ, анализировались ВЭГМ, если таковые имелись, учитывалась их связь с дневниковыми записями, при необходимости проводилась коррекция настроек устройства.</w:t>
      </w:r>
    </w:p>
    <w:p w14:paraId="25878ADE" w14:textId="77777777" w:rsidR="0005338E" w:rsidRDefault="0005338E" w:rsidP="000533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Клинически значимыми считались ЭВПЧ длительностью более 6 минут. Диагноз ФП устанавливался при анализе ВЭГМ. При регистрации более коротких эпизодов так же проводился анализ </w:t>
      </w:r>
      <w:proofErr w:type="spellStart"/>
      <w:r>
        <w:rPr>
          <w:rFonts w:ascii="Times New Roman" w:hAnsi="Times New Roman" w:cs="Times New Roman"/>
          <w:sz w:val="24"/>
          <w:szCs w:val="24"/>
        </w:rPr>
        <w:t>электрограмм</w:t>
      </w:r>
      <w:proofErr w:type="spellEnd"/>
      <w:r>
        <w:rPr>
          <w:rFonts w:ascii="Times New Roman" w:hAnsi="Times New Roman" w:cs="Times New Roman"/>
          <w:sz w:val="24"/>
          <w:szCs w:val="24"/>
        </w:rPr>
        <w:t xml:space="preserve"> с целью дифференциального диагноза ложных предсердных нарушений ритма. Все эпизоды ФП были разделены по их максимальной продолжительности за трёхмесячный интервал наблюдения на следующие категории: менее 6 минут, от 6 минут до 1 часа, от 1 часа до 6 часов, от 6 часов до 12 часов, от 12 часов до 24 часов и более 24 часов.</w:t>
      </w:r>
    </w:p>
    <w:p w14:paraId="5BE73B77" w14:textId="77777777" w:rsidR="0005338E" w:rsidRPr="00C31D10" w:rsidRDefault="0005338E" w:rsidP="000533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Для проведения статистического анализа использовался пакет программ </w:t>
      </w:r>
      <w:r>
        <w:rPr>
          <w:rFonts w:ascii="Times New Roman" w:hAnsi="Times New Roman" w:cs="Times New Roman"/>
          <w:sz w:val="24"/>
          <w:szCs w:val="24"/>
          <w:lang w:val="en-US"/>
        </w:rPr>
        <w:t>IBMSPSS</w:t>
      </w:r>
      <w:r w:rsidRPr="00ED1823">
        <w:rPr>
          <w:rFonts w:ascii="Times New Roman" w:hAnsi="Times New Roman" w:cs="Times New Roman"/>
          <w:sz w:val="24"/>
          <w:szCs w:val="24"/>
        </w:rPr>
        <w:t xml:space="preserve"> 21.0</w:t>
      </w:r>
      <w:r>
        <w:rPr>
          <w:rFonts w:ascii="Times New Roman" w:hAnsi="Times New Roman" w:cs="Times New Roman"/>
          <w:sz w:val="24"/>
          <w:szCs w:val="24"/>
        </w:rPr>
        <w:t>. О</w:t>
      </w:r>
      <w:r w:rsidRPr="00C31D10">
        <w:rPr>
          <w:rFonts w:ascii="Times New Roman" w:hAnsi="Times New Roman" w:cs="Times New Roman"/>
          <w:sz w:val="24"/>
          <w:szCs w:val="24"/>
        </w:rPr>
        <w:t>писание количественных признаков выполнено в виде среднего арифметического значения ± стандартное отклонение</w:t>
      </w:r>
      <w:r>
        <w:rPr>
          <w:rFonts w:ascii="Times New Roman" w:hAnsi="Times New Roman" w:cs="Times New Roman"/>
          <w:sz w:val="24"/>
          <w:szCs w:val="24"/>
        </w:rPr>
        <w:t>. Описание качественных признаков</w:t>
      </w:r>
      <w:r w:rsidRPr="000455F1">
        <w:rPr>
          <w:rFonts w:ascii="Times New Roman" w:hAnsi="Times New Roman" w:cs="Times New Roman"/>
          <w:sz w:val="24"/>
          <w:szCs w:val="24"/>
        </w:rPr>
        <w:t xml:space="preserve"> </w:t>
      </w:r>
      <w:r>
        <w:rPr>
          <w:rFonts w:ascii="Times New Roman" w:hAnsi="Times New Roman" w:cs="Times New Roman"/>
          <w:sz w:val="24"/>
          <w:szCs w:val="24"/>
        </w:rPr>
        <w:t xml:space="preserve">выполнено в виде частот и процентов. Для выявления факторов риска возникновения ФП выполнен регрессионный анализ относительных рисков Кокса. В связи с этим </w:t>
      </w:r>
      <w:r>
        <w:rPr>
          <w:rFonts w:ascii="Times New Roman" w:hAnsi="Times New Roman" w:cs="Times New Roman"/>
          <w:sz w:val="24"/>
        </w:rPr>
        <w:t>в качестве показателя систолической функции левого желудочка использовалась только фракция выброса, а характеристикой левого предсердия</w:t>
      </w:r>
      <w:r w:rsidR="00FF6F2B">
        <w:rPr>
          <w:rFonts w:ascii="Times New Roman" w:hAnsi="Times New Roman" w:cs="Times New Roman"/>
          <w:sz w:val="24"/>
        </w:rPr>
        <w:t xml:space="preserve"> (ЛП)</w:t>
      </w:r>
      <w:r>
        <w:rPr>
          <w:rFonts w:ascii="Times New Roman" w:hAnsi="Times New Roman" w:cs="Times New Roman"/>
          <w:sz w:val="24"/>
        </w:rPr>
        <w:t xml:space="preserve"> являлся индекс его объёма в категориальных значениях. </w:t>
      </w:r>
      <w:r>
        <w:rPr>
          <w:rFonts w:ascii="Times New Roman" w:hAnsi="Times New Roman" w:cs="Times New Roman"/>
          <w:sz w:val="24"/>
          <w:szCs w:val="24"/>
        </w:rPr>
        <w:t>Статистически достоверными считались результаты при р</w:t>
      </w:r>
      <w:r w:rsidRPr="00C31D10">
        <w:rPr>
          <w:rFonts w:ascii="Times New Roman" w:hAnsi="Times New Roman" w:cs="Times New Roman"/>
          <w:sz w:val="24"/>
          <w:szCs w:val="24"/>
        </w:rPr>
        <w:t>&lt;</w:t>
      </w:r>
      <w:r>
        <w:rPr>
          <w:rFonts w:ascii="Times New Roman" w:hAnsi="Times New Roman" w:cs="Times New Roman"/>
          <w:sz w:val="24"/>
          <w:szCs w:val="24"/>
        </w:rPr>
        <w:t>0,05.</w:t>
      </w:r>
    </w:p>
    <w:p w14:paraId="50E135BF" w14:textId="77777777" w:rsidR="0005338E" w:rsidRDefault="0005338E" w:rsidP="0005338E">
      <w:pPr>
        <w:spacing w:after="0" w:line="360" w:lineRule="auto"/>
        <w:ind w:firstLine="567"/>
        <w:jc w:val="both"/>
        <w:rPr>
          <w:rFonts w:ascii="Times New Roman" w:hAnsi="Times New Roman" w:cs="Times New Roman"/>
          <w:sz w:val="24"/>
          <w:szCs w:val="24"/>
        </w:rPr>
      </w:pPr>
    </w:p>
    <w:p w14:paraId="6AD7C157" w14:textId="77777777" w:rsidR="0005338E" w:rsidRDefault="0005338E" w:rsidP="0005338E">
      <w:pPr>
        <w:spacing w:after="0" w:line="360" w:lineRule="auto"/>
        <w:ind w:firstLine="567"/>
        <w:jc w:val="both"/>
        <w:rPr>
          <w:rFonts w:ascii="Times New Roman" w:hAnsi="Times New Roman" w:cs="Times New Roman"/>
          <w:b/>
          <w:sz w:val="24"/>
          <w:szCs w:val="24"/>
        </w:rPr>
      </w:pPr>
      <w:r w:rsidRPr="00934888">
        <w:rPr>
          <w:rFonts w:ascii="Times New Roman" w:hAnsi="Times New Roman" w:cs="Times New Roman"/>
          <w:b/>
          <w:sz w:val="24"/>
          <w:szCs w:val="24"/>
        </w:rPr>
        <w:t>РЕЗУЛЬТАТЫ</w:t>
      </w:r>
    </w:p>
    <w:p w14:paraId="72212874" w14:textId="77777777" w:rsidR="0005338E" w:rsidRDefault="0005338E" w:rsidP="0005338E">
      <w:pPr>
        <w:spacing w:after="0" w:line="36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исследов</w:t>
      </w:r>
      <w:r w:rsidRPr="00442A22">
        <w:rPr>
          <w:rFonts w:ascii="Times New Roman" w:hAnsi="Times New Roman" w:cs="Times New Roman"/>
          <w:color w:val="000000"/>
          <w:sz w:val="24"/>
          <w:szCs w:val="24"/>
          <w:shd w:val="clear" w:color="auto" w:fill="FFFFFF"/>
        </w:rPr>
        <w:t>ание было</w:t>
      </w:r>
      <w:r>
        <w:rPr>
          <w:rFonts w:ascii="Times New Roman" w:hAnsi="Times New Roman" w:cs="Times New Roman"/>
          <w:color w:val="000000"/>
          <w:sz w:val="24"/>
          <w:szCs w:val="24"/>
          <w:shd w:val="clear" w:color="auto" w:fill="FFFFFF"/>
        </w:rPr>
        <w:t xml:space="preserve"> последовательно</w:t>
      </w:r>
      <w:r w:rsidRPr="00442A22">
        <w:rPr>
          <w:rFonts w:ascii="Times New Roman" w:hAnsi="Times New Roman" w:cs="Times New Roman"/>
          <w:color w:val="000000"/>
          <w:sz w:val="24"/>
          <w:szCs w:val="24"/>
          <w:shd w:val="clear" w:color="auto" w:fill="FFFFFF"/>
        </w:rPr>
        <w:t xml:space="preserve"> включено 304 пациента</w:t>
      </w:r>
      <w:r>
        <w:rPr>
          <w:rFonts w:ascii="Times New Roman" w:hAnsi="Times New Roman" w:cs="Times New Roman"/>
          <w:color w:val="000000"/>
          <w:sz w:val="24"/>
          <w:szCs w:val="24"/>
          <w:shd w:val="clear" w:color="auto" w:fill="FFFFFF"/>
        </w:rPr>
        <w:t xml:space="preserve">, которым </w:t>
      </w:r>
      <w:r w:rsidRPr="00DB0FF1">
        <w:rPr>
          <w:rFonts w:ascii="Times New Roman" w:hAnsi="Times New Roman" w:cs="Times New Roman"/>
          <w:color w:val="000000" w:themeColor="text1"/>
          <w:sz w:val="24"/>
          <w:szCs w:val="24"/>
          <w:shd w:val="clear" w:color="auto" w:fill="FFFFFF"/>
        </w:rPr>
        <w:t xml:space="preserve">в период с </w:t>
      </w:r>
      <w:r>
        <w:rPr>
          <w:rFonts w:ascii="Times New Roman" w:hAnsi="Times New Roman" w:cs="Times New Roman"/>
          <w:color w:val="000000" w:themeColor="text1"/>
          <w:sz w:val="24"/>
          <w:szCs w:val="24"/>
          <w:shd w:val="clear" w:color="auto" w:fill="FFFFFF"/>
        </w:rPr>
        <w:t xml:space="preserve">сентября </w:t>
      </w:r>
      <w:r w:rsidRPr="00DB0FF1">
        <w:rPr>
          <w:rFonts w:ascii="Times New Roman" w:hAnsi="Times New Roman" w:cs="Times New Roman"/>
          <w:color w:val="000000" w:themeColor="text1"/>
          <w:sz w:val="24"/>
          <w:szCs w:val="24"/>
          <w:shd w:val="clear" w:color="auto" w:fill="FFFFFF"/>
        </w:rPr>
        <w:t>2013</w:t>
      </w:r>
      <w:r>
        <w:rPr>
          <w:rFonts w:ascii="Times New Roman" w:hAnsi="Times New Roman" w:cs="Times New Roman"/>
          <w:color w:val="000000" w:themeColor="text1"/>
          <w:sz w:val="24"/>
          <w:szCs w:val="24"/>
          <w:shd w:val="clear" w:color="auto" w:fill="FFFFFF"/>
        </w:rPr>
        <w:t xml:space="preserve">г </w:t>
      </w:r>
      <w:r w:rsidRPr="00DB0FF1">
        <w:rPr>
          <w:rFonts w:ascii="Times New Roman" w:hAnsi="Times New Roman" w:cs="Times New Roman"/>
          <w:color w:val="000000" w:themeColor="text1"/>
          <w:sz w:val="24"/>
          <w:szCs w:val="24"/>
          <w:shd w:val="clear" w:color="auto" w:fill="FFFFFF"/>
        </w:rPr>
        <w:t>по</w:t>
      </w:r>
      <w:r>
        <w:rPr>
          <w:rFonts w:ascii="Times New Roman" w:hAnsi="Times New Roman" w:cs="Times New Roman"/>
          <w:color w:val="000000" w:themeColor="text1"/>
          <w:sz w:val="24"/>
          <w:szCs w:val="24"/>
          <w:shd w:val="clear" w:color="auto" w:fill="FFFFFF"/>
        </w:rPr>
        <w:t xml:space="preserve"> июль 2016г </w:t>
      </w:r>
      <w:r>
        <w:rPr>
          <w:rFonts w:ascii="Times New Roman" w:hAnsi="Times New Roman" w:cs="Times New Roman"/>
          <w:color w:val="000000"/>
          <w:sz w:val="24"/>
          <w:szCs w:val="24"/>
          <w:shd w:val="clear" w:color="auto" w:fill="FFFFFF"/>
        </w:rPr>
        <w:t xml:space="preserve">были имплантированы сердечные устройства в </w:t>
      </w:r>
      <w:r w:rsidRPr="00D221E9">
        <w:rPr>
          <w:rFonts w:ascii="Times New Roman" w:hAnsi="Times New Roman" w:cs="Times New Roman"/>
          <w:color w:val="000000"/>
          <w:sz w:val="24"/>
          <w:szCs w:val="24"/>
          <w:shd w:val="clear" w:color="auto" w:fill="FFFFFF"/>
        </w:rPr>
        <w:t xml:space="preserve">отделении </w:t>
      </w:r>
      <w:r>
        <w:rPr>
          <w:rFonts w:ascii="Times New Roman" w:hAnsi="Times New Roman" w:cs="Times New Roman"/>
          <w:color w:val="000000"/>
          <w:sz w:val="24"/>
          <w:szCs w:val="24"/>
          <w:shd w:val="clear" w:color="auto" w:fill="FFFFFF"/>
        </w:rPr>
        <w:t xml:space="preserve">хирургического лечения сложных нарушений ритма сердца и </w:t>
      </w:r>
      <w:proofErr w:type="spellStart"/>
      <w:r>
        <w:rPr>
          <w:rFonts w:ascii="Times New Roman" w:hAnsi="Times New Roman" w:cs="Times New Roman"/>
          <w:color w:val="000000"/>
          <w:sz w:val="24"/>
          <w:szCs w:val="24"/>
          <w:shd w:val="clear" w:color="auto" w:fill="FFFFFF"/>
        </w:rPr>
        <w:t>электрокардиостимуляции</w:t>
      </w:r>
      <w:proofErr w:type="spellEnd"/>
      <w:r>
        <w:rPr>
          <w:rFonts w:ascii="Times New Roman" w:hAnsi="Times New Roman" w:cs="Times New Roman"/>
          <w:color w:val="000000"/>
          <w:sz w:val="24"/>
          <w:szCs w:val="24"/>
          <w:shd w:val="clear" w:color="auto" w:fill="FFFFFF"/>
        </w:rPr>
        <w:t xml:space="preserve"> ГКБ №4 (г. Москва). Клинико-демографическая характеристика пациентов, типы кардиостимуляторов и показания к их имплантации, а также проводимая медикаментозная терапия указаны в </w:t>
      </w:r>
      <w:r w:rsidRPr="00811267">
        <w:rPr>
          <w:rFonts w:ascii="Times New Roman" w:hAnsi="Times New Roman" w:cs="Times New Roman"/>
          <w:color w:val="000000"/>
          <w:sz w:val="24"/>
          <w:szCs w:val="24"/>
          <w:highlight w:val="yellow"/>
          <w:shd w:val="clear" w:color="auto" w:fill="FFFFFF"/>
        </w:rPr>
        <w:t>таблицах 1, 2 и 3</w:t>
      </w:r>
      <w:r>
        <w:rPr>
          <w:rFonts w:ascii="Times New Roman" w:hAnsi="Times New Roman" w:cs="Times New Roman"/>
          <w:color w:val="000000"/>
          <w:sz w:val="24"/>
          <w:szCs w:val="24"/>
          <w:highlight w:val="yellow"/>
          <w:shd w:val="clear" w:color="auto" w:fill="FFFFFF"/>
        </w:rPr>
        <w:t>,</w:t>
      </w:r>
      <w:r>
        <w:rPr>
          <w:rFonts w:ascii="Times New Roman" w:hAnsi="Times New Roman" w:cs="Times New Roman"/>
          <w:color w:val="000000"/>
          <w:sz w:val="24"/>
          <w:szCs w:val="24"/>
          <w:shd w:val="clear" w:color="auto" w:fill="FFFFFF"/>
        </w:rPr>
        <w:t xml:space="preserve"> соответственно. Всего из исследования выбыло 80 </w:t>
      </w:r>
      <w:r>
        <w:rPr>
          <w:rFonts w:ascii="Times New Roman" w:hAnsi="Times New Roman" w:cs="Times New Roman"/>
          <w:color w:val="000000"/>
          <w:sz w:val="24"/>
          <w:szCs w:val="24"/>
          <w:shd w:val="clear" w:color="auto" w:fill="FFFFFF"/>
        </w:rPr>
        <w:lastRenderedPageBreak/>
        <w:t xml:space="preserve">человек (49 пациентов на первом визите, 18 – на втором, 9 и 4 - на третьем и четвёртом, соответственно). Причинами выбывания явились отказ от дальнейшего участия </w:t>
      </w:r>
      <w:r w:rsidRPr="00DB0FF1">
        <w:rPr>
          <w:rFonts w:ascii="Times New Roman" w:hAnsi="Times New Roman" w:cs="Times New Roman"/>
          <w:color w:val="000000" w:themeColor="text1"/>
          <w:sz w:val="24"/>
          <w:szCs w:val="24"/>
          <w:shd w:val="clear" w:color="auto" w:fill="FFFFFF"/>
        </w:rPr>
        <w:t>(17,5</w:t>
      </w:r>
      <w:r>
        <w:rPr>
          <w:rFonts w:ascii="Times New Roman" w:hAnsi="Times New Roman" w:cs="Times New Roman"/>
          <w:color w:val="000000" w:themeColor="text1"/>
          <w:sz w:val="24"/>
          <w:szCs w:val="24"/>
          <w:shd w:val="clear" w:color="auto" w:fill="FFFFFF"/>
        </w:rPr>
        <w:t xml:space="preserve"> </w:t>
      </w:r>
      <w:r w:rsidRPr="00DB0FF1">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больных</w:t>
      </w:r>
      <w:r w:rsidRPr="00DB0FF1">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sz w:val="24"/>
          <w:szCs w:val="24"/>
          <w:shd w:val="clear" w:color="auto" w:fill="FFFFFF"/>
        </w:rPr>
        <w:t xml:space="preserve">трудности в транспортировке до клиники </w:t>
      </w:r>
      <w:r w:rsidRPr="00DB0FF1">
        <w:rPr>
          <w:rFonts w:ascii="Times New Roman" w:hAnsi="Times New Roman" w:cs="Times New Roman"/>
          <w:color w:val="000000" w:themeColor="text1"/>
          <w:sz w:val="24"/>
          <w:szCs w:val="24"/>
          <w:shd w:val="clear" w:color="auto" w:fill="FFFFFF"/>
        </w:rPr>
        <w:t>(20</w:t>
      </w:r>
      <w:r>
        <w:rPr>
          <w:rFonts w:ascii="Times New Roman" w:hAnsi="Times New Roman" w:cs="Times New Roman"/>
          <w:color w:val="000000" w:themeColor="text1"/>
          <w:sz w:val="24"/>
          <w:szCs w:val="24"/>
          <w:shd w:val="clear" w:color="auto" w:fill="FFFFFF"/>
        </w:rPr>
        <w:t xml:space="preserve"> </w:t>
      </w:r>
      <w:r w:rsidRPr="00DB0FF1">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sz w:val="24"/>
          <w:szCs w:val="24"/>
          <w:shd w:val="clear" w:color="auto" w:fill="FFFFFF"/>
        </w:rPr>
        <w:t xml:space="preserve">с частью пациентов не удалось связаться </w:t>
      </w:r>
      <w:r w:rsidRPr="00DB0FF1">
        <w:rPr>
          <w:rFonts w:ascii="Times New Roman" w:hAnsi="Times New Roman" w:cs="Times New Roman"/>
          <w:color w:val="000000" w:themeColor="text1"/>
          <w:sz w:val="24"/>
          <w:szCs w:val="24"/>
          <w:shd w:val="clear" w:color="auto" w:fill="FFFFFF"/>
        </w:rPr>
        <w:t>(62,5</w:t>
      </w:r>
      <w:r>
        <w:rPr>
          <w:rFonts w:ascii="Times New Roman" w:hAnsi="Times New Roman" w:cs="Times New Roman"/>
          <w:color w:val="000000" w:themeColor="text1"/>
          <w:sz w:val="24"/>
          <w:szCs w:val="24"/>
          <w:shd w:val="clear" w:color="auto" w:fill="FFFFFF"/>
        </w:rPr>
        <w:t xml:space="preserve"> </w:t>
      </w:r>
      <w:r w:rsidRPr="00DB0FF1">
        <w:rPr>
          <w:rFonts w:ascii="Times New Roman" w:hAnsi="Times New Roman" w:cs="Times New Roman"/>
          <w:color w:val="000000" w:themeColor="text1"/>
          <w:sz w:val="24"/>
          <w:szCs w:val="24"/>
          <w:shd w:val="clear" w:color="auto" w:fill="FFFFFF"/>
        </w:rPr>
        <w:t xml:space="preserve">%). </w:t>
      </w:r>
    </w:p>
    <w:p w14:paraId="7D19E219" w14:textId="77777777" w:rsidR="0005338E" w:rsidRPr="00AB3058" w:rsidRDefault="0005338E" w:rsidP="0005338E">
      <w:pPr>
        <w:shd w:val="clear" w:color="auto" w:fill="FFFFFF"/>
        <w:spacing w:line="360" w:lineRule="auto"/>
        <w:ind w:firstLine="567"/>
        <w:contextualSpacing/>
        <w:jc w:val="both"/>
        <w:rPr>
          <w:rFonts w:ascii="Times New Roman" w:hAnsi="Times New Roman" w:cs="Times New Roman"/>
          <w:color w:val="000000" w:themeColor="text1"/>
          <w:sz w:val="24"/>
          <w:szCs w:val="24"/>
          <w:highlight w:val="cyan"/>
        </w:rPr>
      </w:pPr>
      <w:r>
        <w:rPr>
          <w:rFonts w:ascii="Times New Roman" w:hAnsi="Times New Roman" w:cs="Times New Roman"/>
          <w:color w:val="000000"/>
          <w:sz w:val="24"/>
          <w:szCs w:val="24"/>
          <w:shd w:val="clear" w:color="auto" w:fill="FFFFFF"/>
        </w:rPr>
        <w:t xml:space="preserve">Таким образом, полностью завершили исследование 224 человека. По данным памяти ЭКС ФП была выявлена у 57 пациентов (25,4 %).  У 14,9 % пациентов (38 из 255, явившихся на 1 визит) ФП была зарегистрирована в течение первых трёх месяцев наблюдения. У 5,3 % (10 из 237 пациентов, явившихся на 2 визит) – в период от 3 до 6 месяцев наблюдения. У 1,7 %  и 3,6 % (3 из 228 и 4 из 224 пациентов, соответственно) время наблюдения до выявления аритмии составило от 6 до 9 месяцев и от 9 до 18 месяцев </w:t>
      </w:r>
      <w:r w:rsidRPr="00811267">
        <w:rPr>
          <w:rFonts w:ascii="Times New Roman" w:hAnsi="Times New Roman" w:cs="Times New Roman"/>
          <w:color w:val="000000"/>
          <w:sz w:val="24"/>
          <w:szCs w:val="24"/>
          <w:highlight w:val="yellow"/>
          <w:shd w:val="clear" w:color="auto" w:fill="FFFFFF"/>
        </w:rPr>
        <w:t>(рис.1).</w:t>
      </w:r>
      <w:r>
        <w:rPr>
          <w:rFonts w:ascii="Times New Roman" w:hAnsi="Times New Roman" w:cs="Times New Roman"/>
          <w:color w:val="000000"/>
          <w:sz w:val="24"/>
          <w:szCs w:val="24"/>
          <w:shd w:val="clear" w:color="auto" w:fill="FFFFFF"/>
        </w:rPr>
        <w:t xml:space="preserve"> </w:t>
      </w:r>
    </w:p>
    <w:p w14:paraId="6503D1F0" w14:textId="77777777" w:rsidR="0005338E" w:rsidRPr="00B672F5" w:rsidRDefault="0005338E" w:rsidP="0005338E">
      <w:pPr>
        <w:shd w:val="clear" w:color="auto" w:fill="FFFFFF"/>
        <w:spacing w:line="360" w:lineRule="auto"/>
        <w:ind w:firstLine="567"/>
        <w:contextualSpacing/>
        <w:jc w:val="both"/>
        <w:rPr>
          <w:rFonts w:ascii="Times New Roman" w:hAnsi="Times New Roman" w:cs="Times New Roman"/>
          <w:color w:val="000000" w:themeColor="text1"/>
          <w:sz w:val="24"/>
          <w:szCs w:val="24"/>
        </w:rPr>
      </w:pPr>
      <w:r w:rsidRPr="00B672F5">
        <w:rPr>
          <w:rFonts w:ascii="Times New Roman" w:hAnsi="Times New Roman" w:cs="Times New Roman"/>
          <w:color w:val="000000"/>
          <w:sz w:val="24"/>
          <w:szCs w:val="24"/>
          <w:shd w:val="clear" w:color="auto" w:fill="FFFFFF"/>
        </w:rPr>
        <w:t xml:space="preserve">У 43 (75,4 %) больных все эпизоды ФП протекали </w:t>
      </w:r>
      <w:proofErr w:type="spellStart"/>
      <w:r w:rsidRPr="00B672F5">
        <w:rPr>
          <w:rFonts w:ascii="Times New Roman" w:hAnsi="Times New Roman" w:cs="Times New Roman"/>
          <w:color w:val="000000"/>
          <w:sz w:val="24"/>
          <w:szCs w:val="24"/>
          <w:shd w:val="clear" w:color="auto" w:fill="FFFFFF"/>
        </w:rPr>
        <w:t>асимптомно</w:t>
      </w:r>
      <w:proofErr w:type="spellEnd"/>
      <w:r w:rsidRPr="00B672F5">
        <w:rPr>
          <w:rFonts w:ascii="Times New Roman" w:hAnsi="Times New Roman" w:cs="Times New Roman"/>
          <w:color w:val="000000"/>
          <w:sz w:val="24"/>
          <w:szCs w:val="24"/>
          <w:shd w:val="clear" w:color="auto" w:fill="FFFFFF"/>
        </w:rPr>
        <w:t xml:space="preserve">.  В ходе исследования не наблюдалось трансформации субклинической ФП в </w:t>
      </w:r>
      <w:proofErr w:type="spellStart"/>
      <w:r w:rsidRPr="00B672F5">
        <w:rPr>
          <w:rFonts w:ascii="Times New Roman" w:hAnsi="Times New Roman" w:cs="Times New Roman"/>
          <w:color w:val="000000"/>
          <w:sz w:val="24"/>
          <w:szCs w:val="24"/>
          <w:shd w:val="clear" w:color="auto" w:fill="FFFFFF"/>
        </w:rPr>
        <w:t>симптомную</w:t>
      </w:r>
      <w:proofErr w:type="spellEnd"/>
      <w:r w:rsidRPr="00B672F5">
        <w:rPr>
          <w:rFonts w:ascii="Times New Roman" w:hAnsi="Times New Roman" w:cs="Times New Roman"/>
          <w:color w:val="000000"/>
          <w:sz w:val="24"/>
          <w:szCs w:val="24"/>
          <w:shd w:val="clear" w:color="auto" w:fill="FFFFFF"/>
        </w:rPr>
        <w:t xml:space="preserve"> и наоборот. Распределение по максимальной длительности эпизодов ФП на момент первичной </w:t>
      </w:r>
      <w:proofErr w:type="spellStart"/>
      <w:r w:rsidRPr="00B672F5">
        <w:rPr>
          <w:rFonts w:ascii="Times New Roman" w:hAnsi="Times New Roman" w:cs="Times New Roman"/>
          <w:color w:val="000000"/>
          <w:sz w:val="24"/>
          <w:szCs w:val="24"/>
          <w:shd w:val="clear" w:color="auto" w:fill="FFFFFF"/>
        </w:rPr>
        <w:t>детекции</w:t>
      </w:r>
      <w:proofErr w:type="spellEnd"/>
      <w:r w:rsidRPr="00B672F5">
        <w:rPr>
          <w:rFonts w:ascii="Times New Roman" w:hAnsi="Times New Roman" w:cs="Times New Roman"/>
          <w:color w:val="000000"/>
          <w:sz w:val="24"/>
          <w:szCs w:val="24"/>
          <w:shd w:val="clear" w:color="auto" w:fill="FFFFFF"/>
        </w:rPr>
        <w:t xml:space="preserve"> у</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симптомных</w:t>
      </w:r>
      <w:proofErr w:type="spellEnd"/>
      <w:r>
        <w:rPr>
          <w:rFonts w:ascii="Times New Roman" w:hAnsi="Times New Roman" w:cs="Times New Roman"/>
          <w:color w:val="000000"/>
          <w:sz w:val="24"/>
          <w:szCs w:val="24"/>
          <w:shd w:val="clear" w:color="auto" w:fill="FFFFFF"/>
        </w:rPr>
        <w:t xml:space="preserve"> и </w:t>
      </w:r>
      <w:proofErr w:type="spellStart"/>
      <w:r>
        <w:rPr>
          <w:rFonts w:ascii="Times New Roman" w:hAnsi="Times New Roman" w:cs="Times New Roman"/>
          <w:color w:val="000000"/>
          <w:sz w:val="24"/>
          <w:szCs w:val="24"/>
          <w:shd w:val="clear" w:color="auto" w:fill="FFFFFF"/>
        </w:rPr>
        <w:t>асимптомных</w:t>
      </w:r>
      <w:proofErr w:type="spellEnd"/>
      <w:r>
        <w:rPr>
          <w:rFonts w:ascii="Times New Roman" w:hAnsi="Times New Roman" w:cs="Times New Roman"/>
          <w:color w:val="000000"/>
          <w:sz w:val="24"/>
          <w:szCs w:val="24"/>
          <w:shd w:val="clear" w:color="auto" w:fill="FFFFFF"/>
        </w:rPr>
        <w:t xml:space="preserve"> пациен</w:t>
      </w:r>
      <w:r w:rsidRPr="00B672F5">
        <w:rPr>
          <w:rFonts w:ascii="Times New Roman" w:hAnsi="Times New Roman" w:cs="Times New Roman"/>
          <w:color w:val="000000"/>
          <w:sz w:val="24"/>
          <w:szCs w:val="24"/>
          <w:shd w:val="clear" w:color="auto" w:fill="FFFFFF"/>
        </w:rPr>
        <w:t xml:space="preserve">тов </w:t>
      </w:r>
      <w:r w:rsidRPr="00B672F5">
        <w:rPr>
          <w:rFonts w:ascii="Times New Roman" w:hAnsi="Times New Roman" w:cs="Times New Roman"/>
          <w:color w:val="000000" w:themeColor="text1"/>
          <w:sz w:val="24"/>
          <w:szCs w:val="24"/>
        </w:rPr>
        <w:t xml:space="preserve">представлено на </w:t>
      </w:r>
      <w:r w:rsidRPr="00B672F5">
        <w:rPr>
          <w:rFonts w:ascii="Times New Roman" w:hAnsi="Times New Roman" w:cs="Times New Roman"/>
          <w:color w:val="000000" w:themeColor="text1"/>
          <w:sz w:val="24"/>
          <w:szCs w:val="24"/>
          <w:highlight w:val="yellow"/>
        </w:rPr>
        <w:t>рисунке 2</w:t>
      </w:r>
      <w:r w:rsidRPr="00B672F5">
        <w:rPr>
          <w:rFonts w:ascii="Times New Roman" w:hAnsi="Times New Roman" w:cs="Times New Roman"/>
          <w:color w:val="000000" w:themeColor="text1"/>
          <w:sz w:val="24"/>
          <w:szCs w:val="24"/>
        </w:rPr>
        <w:t>. При анализе данных по длительности эпизодов аритмии для каждого больного за весь период наблюдения не было отмечено тенденции к нарастанию их продолжительности.</w:t>
      </w:r>
    </w:p>
    <w:p w14:paraId="5E99E3F0" w14:textId="77777777" w:rsidR="0005338E" w:rsidRDefault="0005338E" w:rsidP="0005338E">
      <w:pPr>
        <w:spacing w:after="0" w:line="360" w:lineRule="auto"/>
        <w:ind w:firstLine="567"/>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У 13 (22,8 %) пациентов с выявленной ФП аритмия была в дальнейшем подтверждена при проведении электрокардиографии. При этом у 9 (69,2 %) больных поводом для регистрации ЭКГ явились жалобы, обусловленные аритмией, а у 4 (30,8 %) ФП была зарегистрирована во время одного из визитов или при рутинном выполнении ЭКГ в других лечебных учреждениях. </w:t>
      </w:r>
    </w:p>
    <w:p w14:paraId="50CA62C6" w14:textId="77777777" w:rsidR="0005338E" w:rsidRDefault="0005338E" w:rsidP="0005338E">
      <w:pPr>
        <w:spacing w:after="0" w:line="360" w:lineRule="auto"/>
        <w:ind w:firstLine="567"/>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У 5 (8 %) пациентов ФП впервые была зарегистрирована при обострении интеркуррентных заболеваний или проведении хирургических вмешательств (пневмония, обострение </w:t>
      </w:r>
      <w:proofErr w:type="spellStart"/>
      <w:r>
        <w:rPr>
          <w:rFonts w:ascii="Times New Roman" w:hAnsi="Times New Roman" w:cs="Times New Roman"/>
          <w:color w:val="000000"/>
          <w:sz w:val="24"/>
          <w:szCs w:val="24"/>
          <w:shd w:val="clear" w:color="auto" w:fill="FFFFFF"/>
        </w:rPr>
        <w:t>дивертикулярной</w:t>
      </w:r>
      <w:proofErr w:type="spellEnd"/>
      <w:r>
        <w:rPr>
          <w:rFonts w:ascii="Times New Roman" w:hAnsi="Times New Roman" w:cs="Times New Roman"/>
          <w:color w:val="000000"/>
          <w:sz w:val="24"/>
          <w:szCs w:val="24"/>
          <w:shd w:val="clear" w:color="auto" w:fill="FFFFFF"/>
        </w:rPr>
        <w:t xml:space="preserve"> болезни кишечника, </w:t>
      </w:r>
      <w:proofErr w:type="spellStart"/>
      <w:r>
        <w:rPr>
          <w:rFonts w:ascii="Times New Roman" w:hAnsi="Times New Roman" w:cs="Times New Roman"/>
          <w:color w:val="000000"/>
          <w:sz w:val="24"/>
          <w:szCs w:val="24"/>
          <w:shd w:val="clear" w:color="auto" w:fill="FFFFFF"/>
        </w:rPr>
        <w:t>холецистэктомия</w:t>
      </w:r>
      <w:proofErr w:type="spellEnd"/>
      <w:r>
        <w:rPr>
          <w:rFonts w:ascii="Times New Roman" w:hAnsi="Times New Roman" w:cs="Times New Roman"/>
          <w:color w:val="000000"/>
          <w:sz w:val="24"/>
          <w:szCs w:val="24"/>
          <w:shd w:val="clear" w:color="auto" w:fill="FFFFFF"/>
        </w:rPr>
        <w:t>). У 3 из них при дальнейшем наблюдении ФП рецидивировала.</w:t>
      </w:r>
    </w:p>
    <w:p w14:paraId="7F3C380B" w14:textId="77777777" w:rsidR="0005338E" w:rsidRPr="00F510F1" w:rsidRDefault="0005338E" w:rsidP="0005338E">
      <w:pPr>
        <w:spacing w:after="0" w:line="36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 целью выявления факторов риска выявления ФП у пациентов с ЭКС в регрессионную модель относительных рисков Кокса были включены следующие переменные:  </w:t>
      </w:r>
      <w:r w:rsidRPr="001D340D">
        <w:rPr>
          <w:rFonts w:ascii="Times New Roman" w:hAnsi="Times New Roman" w:cs="Times New Roman"/>
          <w:color w:val="000000"/>
          <w:sz w:val="24"/>
          <w:szCs w:val="24"/>
          <w:shd w:val="clear" w:color="auto" w:fill="FFFFFF"/>
        </w:rPr>
        <w:t>пол, возраст, имплантация ЭКС (первичная/смена),</w:t>
      </w:r>
      <w:r>
        <w:rPr>
          <w:rFonts w:ascii="Times New Roman" w:hAnsi="Times New Roman" w:cs="Times New Roman"/>
          <w:color w:val="000000"/>
          <w:sz w:val="24"/>
          <w:szCs w:val="24"/>
          <w:shd w:val="clear" w:color="auto" w:fill="FFFFFF"/>
        </w:rPr>
        <w:t xml:space="preserve"> вид нарушения ритма (синдром слабости синусового узла /атриовентрикулярная блокада),</w:t>
      </w:r>
      <w:r w:rsidRPr="001D340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гипертоническая болезнь</w:t>
      </w:r>
      <w:r w:rsidRPr="001D340D">
        <w:rPr>
          <w:rFonts w:ascii="Times New Roman" w:hAnsi="Times New Roman" w:cs="Times New Roman"/>
          <w:color w:val="000000"/>
          <w:sz w:val="24"/>
          <w:szCs w:val="24"/>
          <w:shd w:val="clear" w:color="auto" w:fill="FFFFFF"/>
        </w:rPr>
        <w:t xml:space="preserve">, </w:t>
      </w:r>
      <w:r w:rsidR="008636AC">
        <w:rPr>
          <w:rFonts w:ascii="Times New Roman" w:hAnsi="Times New Roman" w:cs="Times New Roman"/>
          <w:color w:val="000000"/>
          <w:sz w:val="24"/>
          <w:szCs w:val="24"/>
          <w:shd w:val="clear" w:color="auto" w:fill="FFFFFF"/>
        </w:rPr>
        <w:t>сахарный диабет</w:t>
      </w:r>
      <w:r w:rsidRPr="001D340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ишемическая болезнь сердца</w:t>
      </w:r>
      <w:r w:rsidRPr="001D340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хрониче</w:t>
      </w:r>
      <w:r w:rsidR="008636AC">
        <w:rPr>
          <w:rFonts w:ascii="Times New Roman" w:hAnsi="Times New Roman" w:cs="Times New Roman"/>
          <w:color w:val="000000"/>
          <w:sz w:val="24"/>
          <w:szCs w:val="24"/>
          <w:shd w:val="clear" w:color="auto" w:fill="FFFFFF"/>
        </w:rPr>
        <w:t>ская сердечная недостаточность</w:t>
      </w:r>
      <w:r w:rsidRPr="001D340D">
        <w:rPr>
          <w:rFonts w:ascii="Times New Roman" w:hAnsi="Times New Roman" w:cs="Times New Roman"/>
          <w:color w:val="000000"/>
          <w:sz w:val="24"/>
          <w:szCs w:val="24"/>
          <w:shd w:val="clear" w:color="auto" w:fill="FFFFFF"/>
        </w:rPr>
        <w:t xml:space="preserve">, степень </w:t>
      </w:r>
      <w:r>
        <w:rPr>
          <w:rFonts w:ascii="Times New Roman" w:hAnsi="Times New Roman" w:cs="Times New Roman"/>
          <w:color w:val="000000"/>
          <w:sz w:val="24"/>
          <w:szCs w:val="24"/>
          <w:shd w:val="clear" w:color="auto" w:fill="FFFFFF"/>
        </w:rPr>
        <w:t xml:space="preserve">митральной </w:t>
      </w:r>
      <w:proofErr w:type="spellStart"/>
      <w:r>
        <w:rPr>
          <w:rFonts w:ascii="Times New Roman" w:hAnsi="Times New Roman" w:cs="Times New Roman"/>
          <w:color w:val="000000"/>
          <w:sz w:val="24"/>
          <w:szCs w:val="24"/>
          <w:shd w:val="clear" w:color="auto" w:fill="FFFFFF"/>
        </w:rPr>
        <w:t>регургитации</w:t>
      </w:r>
      <w:proofErr w:type="spellEnd"/>
      <w:r w:rsidRPr="001D340D">
        <w:rPr>
          <w:rFonts w:ascii="Times New Roman" w:hAnsi="Times New Roman" w:cs="Times New Roman"/>
          <w:color w:val="000000"/>
          <w:sz w:val="24"/>
          <w:szCs w:val="24"/>
          <w:shd w:val="clear" w:color="auto" w:fill="FFFFFF"/>
        </w:rPr>
        <w:t xml:space="preserve">, курение, </w:t>
      </w:r>
      <w:r>
        <w:rPr>
          <w:rFonts w:ascii="Times New Roman" w:hAnsi="Times New Roman" w:cs="Times New Roman"/>
          <w:color w:val="000000"/>
          <w:sz w:val="24"/>
          <w:szCs w:val="24"/>
          <w:shd w:val="clear" w:color="auto" w:fill="FFFFFF"/>
        </w:rPr>
        <w:t>индекс массы тела</w:t>
      </w:r>
      <w:r w:rsidRPr="001D340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фракция выброса левого </w:t>
      </w:r>
      <w:r w:rsidR="008636AC">
        <w:rPr>
          <w:rFonts w:ascii="Times New Roman" w:hAnsi="Times New Roman" w:cs="Times New Roman"/>
          <w:color w:val="000000"/>
          <w:sz w:val="24"/>
          <w:szCs w:val="24"/>
          <w:shd w:val="clear" w:color="auto" w:fill="FFFFFF"/>
        </w:rPr>
        <w:t>желудочка</w:t>
      </w:r>
      <w:r w:rsidRPr="001D340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индекс объёма левого предсердия (</w:t>
      </w:r>
      <w:r w:rsidRPr="001D340D">
        <w:rPr>
          <w:rFonts w:ascii="Times New Roman" w:hAnsi="Times New Roman" w:cs="Times New Roman"/>
          <w:color w:val="000000"/>
          <w:sz w:val="24"/>
          <w:szCs w:val="24"/>
          <w:shd w:val="clear" w:color="auto" w:fill="FFFFFF"/>
        </w:rPr>
        <w:t>ИОЛП</w:t>
      </w:r>
      <w:r>
        <w:rPr>
          <w:rFonts w:ascii="Times New Roman" w:hAnsi="Times New Roman" w:cs="Times New Roman"/>
          <w:color w:val="000000"/>
          <w:sz w:val="24"/>
          <w:szCs w:val="24"/>
          <w:shd w:val="clear" w:color="auto" w:fill="FFFFFF"/>
        </w:rPr>
        <w:t>)</w:t>
      </w:r>
      <w:r w:rsidRPr="001D340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толщина стенок левого желудочка</w:t>
      </w:r>
      <w:r w:rsidRPr="001D340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систолическое давление в лёгочной артерии, уровень</w:t>
      </w:r>
      <w:r w:rsidRPr="001D340D">
        <w:rPr>
          <w:rFonts w:ascii="Times New Roman" w:hAnsi="Times New Roman" w:cs="Times New Roman"/>
          <w:color w:val="000000"/>
          <w:sz w:val="24"/>
          <w:szCs w:val="24"/>
          <w:shd w:val="clear" w:color="auto" w:fill="FFFFFF"/>
        </w:rPr>
        <w:t xml:space="preserve"> гемоглобина, </w:t>
      </w:r>
      <w:proofErr w:type="spellStart"/>
      <w:r w:rsidRPr="001D340D">
        <w:rPr>
          <w:rFonts w:ascii="Times New Roman" w:hAnsi="Times New Roman" w:cs="Times New Roman"/>
          <w:color w:val="000000"/>
          <w:sz w:val="24"/>
          <w:szCs w:val="24"/>
          <w:shd w:val="clear" w:color="auto" w:fill="FFFFFF"/>
        </w:rPr>
        <w:t>креатинина</w:t>
      </w:r>
      <w:proofErr w:type="spellEnd"/>
      <w:r w:rsidRPr="001D340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скорость клубочковой фильтрации </w:t>
      </w:r>
      <w:r w:rsidRPr="001D340D">
        <w:rPr>
          <w:rFonts w:ascii="Times New Roman" w:hAnsi="Times New Roman" w:cs="Times New Roman"/>
          <w:color w:val="000000"/>
          <w:sz w:val="24"/>
          <w:szCs w:val="24"/>
          <w:shd w:val="clear" w:color="auto" w:fill="FFFFFF"/>
        </w:rPr>
        <w:t>(MDRD), прием препаратов, процент стимуляции желудочков</w:t>
      </w:r>
      <w:r>
        <w:rPr>
          <w:rFonts w:ascii="Times New Roman" w:hAnsi="Times New Roman" w:cs="Times New Roman"/>
          <w:color w:val="000000"/>
          <w:sz w:val="24"/>
          <w:szCs w:val="24"/>
          <w:shd w:val="clear" w:color="auto" w:fill="FFFFFF"/>
        </w:rPr>
        <w:t xml:space="preserve"> по данным памяти ЭКС</w:t>
      </w:r>
      <w:r w:rsidRPr="001D340D">
        <w:rPr>
          <w:rFonts w:ascii="Times New Roman" w:hAnsi="Times New Roman" w:cs="Times New Roman"/>
          <w:color w:val="000000"/>
          <w:sz w:val="24"/>
          <w:szCs w:val="24"/>
          <w:shd w:val="clear" w:color="auto" w:fill="FFFFFF"/>
        </w:rPr>
        <w:t>,</w:t>
      </w:r>
      <w:r w:rsidRPr="001D340D">
        <w:rPr>
          <w:rStyle w:val="apple-converted-space"/>
          <w:rFonts w:ascii="Times New Roman" w:hAnsi="Times New Roman" w:cs="Times New Roman"/>
          <w:color w:val="000000"/>
          <w:sz w:val="24"/>
          <w:szCs w:val="24"/>
          <w:shd w:val="clear" w:color="auto" w:fill="FFFFFF"/>
        </w:rPr>
        <w:t> </w:t>
      </w:r>
      <w:r w:rsidRPr="001D340D">
        <w:rPr>
          <w:rFonts w:ascii="Times New Roman" w:hAnsi="Times New Roman" w:cs="Times New Roman"/>
          <w:color w:val="000000"/>
          <w:sz w:val="24"/>
          <w:szCs w:val="24"/>
          <w:shd w:val="clear" w:color="auto" w:fill="FFFFFF"/>
        </w:rPr>
        <w:t>активный режим частотной адаптации</w:t>
      </w:r>
      <w:r>
        <w:rPr>
          <w:rFonts w:ascii="Times New Roman" w:hAnsi="Times New Roman" w:cs="Times New Roman"/>
          <w:color w:val="000000"/>
          <w:sz w:val="24"/>
          <w:szCs w:val="24"/>
          <w:shd w:val="clear" w:color="auto" w:fill="FFFFFF"/>
        </w:rPr>
        <w:t>. По результатам проведённого вычисления</w:t>
      </w:r>
      <w:r w:rsidRPr="001D340D">
        <w:rPr>
          <w:rFonts w:ascii="Times New Roman" w:hAnsi="Times New Roman" w:cs="Times New Roman"/>
          <w:color w:val="000000"/>
          <w:sz w:val="24"/>
          <w:szCs w:val="24"/>
          <w:shd w:val="clear" w:color="auto" w:fill="FFFFFF"/>
        </w:rPr>
        <w:t xml:space="preserve"> </w:t>
      </w:r>
      <w:r w:rsidRPr="001D340D">
        <w:rPr>
          <w:rFonts w:ascii="Times New Roman" w:hAnsi="Times New Roman" w:cs="Times New Roman"/>
          <w:color w:val="000000"/>
          <w:sz w:val="24"/>
          <w:szCs w:val="24"/>
          <w:shd w:val="clear" w:color="auto" w:fill="FFFFFF"/>
        </w:rPr>
        <w:lastRenderedPageBreak/>
        <w:t>достоверно на риск развития ФП влияли следующие факторы:</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ТЭО в анамнезе (ОР 4,72; 95 % ДИ 2,279-9,77; р</w:t>
      </w:r>
      <w:r w:rsidRPr="00935B48">
        <w:rPr>
          <w:rFonts w:ascii="Times New Roman" w:hAnsi="Times New Roman" w:cs="Times New Roman"/>
          <w:sz w:val="24"/>
          <w:szCs w:val="24"/>
        </w:rPr>
        <w:t>&lt;</w:t>
      </w:r>
      <w:r>
        <w:rPr>
          <w:rFonts w:ascii="Times New Roman" w:hAnsi="Times New Roman" w:cs="Times New Roman"/>
          <w:sz w:val="24"/>
          <w:szCs w:val="24"/>
        </w:rPr>
        <w:t xml:space="preserve">0,0001), увеличение ИОЛП (ОР 2,07; 95 % ДИ 1,075-3,975; р=0,029), а также снижение уровня гемоглобина (ОР 2,58; 95 % ДИ 1,245-5,35; р=0,011) </w:t>
      </w:r>
      <w:r w:rsidRPr="00F75CCD">
        <w:rPr>
          <w:rFonts w:ascii="Times New Roman" w:hAnsi="Times New Roman" w:cs="Times New Roman"/>
          <w:sz w:val="24"/>
          <w:szCs w:val="24"/>
          <w:highlight w:val="yellow"/>
        </w:rPr>
        <w:t>(табл.</w:t>
      </w:r>
      <w:r>
        <w:rPr>
          <w:rFonts w:ascii="Times New Roman" w:hAnsi="Times New Roman" w:cs="Times New Roman"/>
          <w:sz w:val="24"/>
          <w:szCs w:val="24"/>
          <w:highlight w:val="yellow"/>
        </w:rPr>
        <w:t xml:space="preserve"> 4</w:t>
      </w:r>
      <w:r w:rsidRPr="00F75CCD">
        <w:rPr>
          <w:rFonts w:ascii="Times New Roman" w:hAnsi="Times New Roman" w:cs="Times New Roman"/>
          <w:sz w:val="24"/>
          <w:szCs w:val="24"/>
          <w:highlight w:val="yellow"/>
        </w:rPr>
        <w:t>).</w:t>
      </w:r>
      <w:r>
        <w:rPr>
          <w:rFonts w:ascii="Times New Roman" w:hAnsi="Times New Roman" w:cs="Times New Roman"/>
          <w:sz w:val="24"/>
          <w:szCs w:val="24"/>
        </w:rPr>
        <w:t xml:space="preserve"> Уровень гемоглобина и значение ИОЛП были выражены в категориальных данных. За норму уровня гемоглобина было принято значение более</w:t>
      </w:r>
      <w:r>
        <w:rPr>
          <w:rFonts w:ascii="Times New Roman" w:hAnsi="Times New Roman" w:cs="Times New Roman"/>
          <w:color w:val="000000"/>
          <w:sz w:val="24"/>
          <w:szCs w:val="24"/>
          <w:shd w:val="clear" w:color="auto" w:fill="FFFFFF"/>
        </w:rPr>
        <w:t xml:space="preserve"> 126 г/л для мужчин и более</w:t>
      </w:r>
      <w:r w:rsidRPr="00F510F1">
        <w:rPr>
          <w:rFonts w:ascii="Times New Roman" w:hAnsi="Times New Roman" w:cs="Times New Roman"/>
          <w:color w:val="000000"/>
          <w:sz w:val="24"/>
          <w:szCs w:val="24"/>
          <w:shd w:val="clear" w:color="auto" w:fill="FFFFFF"/>
        </w:rPr>
        <w:t>117 г/л для женщин</w:t>
      </w:r>
      <w:r>
        <w:rPr>
          <w:rFonts w:ascii="Times New Roman" w:hAnsi="Times New Roman" w:cs="Times New Roman"/>
          <w:color w:val="000000"/>
          <w:sz w:val="24"/>
          <w:szCs w:val="24"/>
          <w:shd w:val="clear" w:color="auto" w:fill="FFFFFF"/>
        </w:rPr>
        <w:t>. ИОЛП считался увеличенным при его значении более 34 мл/м</w:t>
      </w:r>
      <w:r>
        <w:rPr>
          <w:rFonts w:ascii="Times New Roman" w:hAnsi="Times New Roman" w:cs="Times New Roman"/>
          <w:color w:val="000000"/>
          <w:sz w:val="24"/>
          <w:szCs w:val="24"/>
          <w:shd w:val="clear" w:color="auto" w:fill="FFFFFF"/>
          <w:vertAlign w:val="superscript"/>
        </w:rPr>
        <w:t>2</w:t>
      </w:r>
      <w:r>
        <w:rPr>
          <w:rFonts w:ascii="Times New Roman" w:hAnsi="Times New Roman" w:cs="Times New Roman"/>
          <w:color w:val="000000"/>
          <w:sz w:val="24"/>
          <w:szCs w:val="24"/>
          <w:shd w:val="clear" w:color="auto" w:fill="FFFFFF"/>
        </w:rPr>
        <w:t>.</w:t>
      </w:r>
    </w:p>
    <w:p w14:paraId="443EF056" w14:textId="77777777" w:rsidR="0005338E" w:rsidRDefault="0005338E" w:rsidP="0005338E">
      <w:pPr>
        <w:spacing w:after="0" w:line="360" w:lineRule="auto"/>
        <w:ind w:firstLine="567"/>
        <w:jc w:val="both"/>
        <w:rPr>
          <w:rFonts w:ascii="Times New Roman" w:hAnsi="Times New Roman" w:cs="Times New Roman"/>
          <w:color w:val="000000"/>
          <w:sz w:val="24"/>
          <w:szCs w:val="24"/>
          <w:shd w:val="clear" w:color="auto" w:fill="FFFFFF"/>
        </w:rPr>
      </w:pPr>
    </w:p>
    <w:p w14:paraId="3D96F446" w14:textId="77777777" w:rsidR="0005338E" w:rsidRDefault="0005338E" w:rsidP="0005338E">
      <w:pPr>
        <w:spacing w:line="360" w:lineRule="auto"/>
        <w:contextualSpacing/>
        <w:jc w:val="both"/>
        <w:rPr>
          <w:rFonts w:ascii="Times New Roman" w:hAnsi="Times New Roman" w:cs="Times New Roman"/>
          <w:b/>
          <w:sz w:val="24"/>
          <w:szCs w:val="24"/>
        </w:rPr>
      </w:pPr>
    </w:p>
    <w:p w14:paraId="632603E2" w14:textId="77777777" w:rsidR="0005338E" w:rsidRDefault="0005338E" w:rsidP="0005338E">
      <w:pPr>
        <w:spacing w:line="360" w:lineRule="auto"/>
        <w:contextualSpacing/>
        <w:jc w:val="both"/>
        <w:rPr>
          <w:rFonts w:ascii="Times New Roman" w:hAnsi="Times New Roman"/>
          <w:b/>
          <w:sz w:val="24"/>
          <w:szCs w:val="24"/>
        </w:rPr>
      </w:pPr>
      <w:r w:rsidRPr="008D4B12">
        <w:rPr>
          <w:rFonts w:ascii="Times New Roman" w:hAnsi="Times New Roman"/>
          <w:b/>
          <w:sz w:val="24"/>
          <w:szCs w:val="24"/>
        </w:rPr>
        <w:t>ОБСУЖДЕНИЕ</w:t>
      </w:r>
    </w:p>
    <w:p w14:paraId="446FE8DE" w14:textId="77777777" w:rsidR="0005338E" w:rsidRDefault="0005338E" w:rsidP="0005338E">
      <w:pPr>
        <w:spacing w:line="360" w:lineRule="auto"/>
        <w:contextualSpacing/>
        <w:jc w:val="both"/>
        <w:rPr>
          <w:rFonts w:ascii="Times New Roman" w:hAnsi="Times New Roman"/>
          <w:b/>
          <w:sz w:val="24"/>
          <w:szCs w:val="24"/>
        </w:rPr>
      </w:pPr>
    </w:p>
    <w:p w14:paraId="1445587B" w14:textId="77777777" w:rsidR="0005338E" w:rsidRDefault="0005338E" w:rsidP="0005338E">
      <w:pPr>
        <w:spacing w:line="360" w:lineRule="auto"/>
        <w:ind w:firstLine="567"/>
        <w:contextualSpacing/>
        <w:jc w:val="both"/>
        <w:rPr>
          <w:rFonts w:ascii="Times New Roman" w:hAnsi="Times New Roman"/>
          <w:sz w:val="24"/>
          <w:szCs w:val="24"/>
        </w:rPr>
      </w:pPr>
      <w:r w:rsidRPr="00F109B0">
        <w:rPr>
          <w:rFonts w:ascii="Times New Roman" w:hAnsi="Times New Roman"/>
          <w:sz w:val="24"/>
          <w:szCs w:val="24"/>
        </w:rPr>
        <w:t xml:space="preserve">Данный регистр является </w:t>
      </w:r>
      <w:r>
        <w:rPr>
          <w:rFonts w:ascii="Times New Roman" w:hAnsi="Times New Roman"/>
          <w:sz w:val="24"/>
          <w:szCs w:val="24"/>
        </w:rPr>
        <w:t xml:space="preserve">первым в России </w:t>
      </w:r>
      <w:proofErr w:type="spellStart"/>
      <w:r>
        <w:rPr>
          <w:rFonts w:ascii="Times New Roman" w:hAnsi="Times New Roman"/>
          <w:sz w:val="24"/>
          <w:szCs w:val="24"/>
        </w:rPr>
        <w:t>проспективным</w:t>
      </w:r>
      <w:proofErr w:type="spellEnd"/>
      <w:r>
        <w:rPr>
          <w:rFonts w:ascii="Times New Roman" w:hAnsi="Times New Roman"/>
          <w:sz w:val="24"/>
          <w:szCs w:val="24"/>
        </w:rPr>
        <w:t xml:space="preserve"> исследованием по оценке распространённости и выявлению факторов риска ФП у пациентов с ЭКС.</w:t>
      </w:r>
    </w:p>
    <w:p w14:paraId="43601344" w14:textId="61A3B9F5" w:rsidR="0005338E" w:rsidRPr="001703B8" w:rsidRDefault="0005338E" w:rsidP="0005338E">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Основной вывод из результатов исследования заключается в высокой распространенности ФП у пациентов с ЭКС: кумулятивная частота выявления аритмии в течение 12 месяцев наблюдения составляет 25,4 %. Полученные данные согласуются с результатами таких исследований, как </w:t>
      </w:r>
      <w:r w:rsidRPr="004D77A4">
        <w:rPr>
          <w:rFonts w:ascii="Times New Roman" w:hAnsi="Times New Roman"/>
          <w:sz w:val="24"/>
          <w:szCs w:val="24"/>
          <w:lang w:val="en-US"/>
        </w:rPr>
        <w:t>SAFE</w:t>
      </w:r>
      <w:r>
        <w:rPr>
          <w:rFonts w:ascii="Times New Roman" w:hAnsi="Times New Roman"/>
          <w:sz w:val="24"/>
          <w:szCs w:val="24"/>
        </w:rPr>
        <w:t xml:space="preserve"> и </w:t>
      </w:r>
      <w:r w:rsidRPr="004D77A4">
        <w:rPr>
          <w:rFonts w:ascii="Times New Roman" w:hAnsi="Times New Roman"/>
          <w:sz w:val="24"/>
          <w:szCs w:val="24"/>
          <w:lang w:val="en-US"/>
        </w:rPr>
        <w:t>ASSERT</w:t>
      </w:r>
      <w:r>
        <w:rPr>
          <w:rFonts w:ascii="Times New Roman" w:hAnsi="Times New Roman"/>
          <w:sz w:val="24"/>
          <w:szCs w:val="24"/>
        </w:rPr>
        <w:t xml:space="preserve">, где ФП была выявлена у 10 % больных с ЭКС при сроке наблюдения до 6 месяцев, и её доля увеличивалась до 34,7 % при сроке наблюдения до 2,5 лет </w:t>
      </w:r>
      <w:r w:rsidRPr="001703B8">
        <w:rPr>
          <w:rFonts w:ascii="Times New Roman" w:hAnsi="Times New Roman"/>
          <w:sz w:val="24"/>
          <w:szCs w:val="24"/>
        </w:rPr>
        <w:t>[</w:t>
      </w:r>
      <w:r w:rsidR="00642F10">
        <w:rPr>
          <w:rFonts w:ascii="Times New Roman" w:hAnsi="Times New Roman"/>
          <w:sz w:val="24"/>
          <w:szCs w:val="24"/>
        </w:rPr>
        <w:t>5, 7</w:t>
      </w:r>
      <w:r w:rsidRPr="001703B8">
        <w:rPr>
          <w:rFonts w:ascii="Times New Roman" w:hAnsi="Times New Roman"/>
          <w:sz w:val="24"/>
          <w:szCs w:val="24"/>
        </w:rPr>
        <w:t>]</w:t>
      </w:r>
      <w:r>
        <w:rPr>
          <w:rFonts w:ascii="Times New Roman" w:hAnsi="Times New Roman"/>
          <w:sz w:val="24"/>
          <w:szCs w:val="24"/>
        </w:rPr>
        <w:t>.</w:t>
      </w:r>
    </w:p>
    <w:p w14:paraId="57CFF477" w14:textId="3CEBF761" w:rsidR="0005338E" w:rsidRDefault="0005338E" w:rsidP="0005338E">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Другой, не менее важной находкой, является преобладание </w:t>
      </w:r>
      <w:proofErr w:type="spellStart"/>
      <w:r>
        <w:rPr>
          <w:rFonts w:ascii="Times New Roman" w:hAnsi="Times New Roman"/>
          <w:sz w:val="24"/>
          <w:szCs w:val="24"/>
        </w:rPr>
        <w:t>асимптомных</w:t>
      </w:r>
      <w:proofErr w:type="spellEnd"/>
      <w:r>
        <w:rPr>
          <w:rFonts w:ascii="Times New Roman" w:hAnsi="Times New Roman"/>
          <w:sz w:val="24"/>
          <w:szCs w:val="24"/>
        </w:rPr>
        <w:t xml:space="preserve"> эпизодов над </w:t>
      </w:r>
      <w:proofErr w:type="spellStart"/>
      <w:r>
        <w:rPr>
          <w:rFonts w:ascii="Times New Roman" w:hAnsi="Times New Roman"/>
          <w:sz w:val="24"/>
          <w:szCs w:val="24"/>
        </w:rPr>
        <w:t>симптомными</w:t>
      </w:r>
      <w:proofErr w:type="spellEnd"/>
      <w:r>
        <w:rPr>
          <w:rFonts w:ascii="Times New Roman" w:hAnsi="Times New Roman"/>
          <w:sz w:val="24"/>
          <w:szCs w:val="24"/>
        </w:rPr>
        <w:t xml:space="preserve">. По результатам регистра </w:t>
      </w:r>
      <w:r w:rsidRPr="004D77A4">
        <w:rPr>
          <w:rFonts w:ascii="Times New Roman" w:hAnsi="Times New Roman"/>
          <w:sz w:val="24"/>
          <w:szCs w:val="24"/>
          <w:lang w:val="en-US"/>
        </w:rPr>
        <w:t>SAFE</w:t>
      </w:r>
      <w:r>
        <w:rPr>
          <w:rFonts w:ascii="Times New Roman" w:hAnsi="Times New Roman"/>
          <w:sz w:val="24"/>
          <w:szCs w:val="24"/>
        </w:rPr>
        <w:t xml:space="preserve">, </w:t>
      </w:r>
      <w:proofErr w:type="spellStart"/>
      <w:r>
        <w:rPr>
          <w:rFonts w:ascii="Times New Roman" w:hAnsi="Times New Roman"/>
          <w:sz w:val="24"/>
          <w:szCs w:val="24"/>
        </w:rPr>
        <w:t>симптомные</w:t>
      </w:r>
      <w:proofErr w:type="spellEnd"/>
      <w:r>
        <w:rPr>
          <w:rFonts w:ascii="Times New Roman" w:hAnsi="Times New Roman"/>
          <w:sz w:val="24"/>
          <w:szCs w:val="24"/>
        </w:rPr>
        <w:t xml:space="preserve"> эпизоды выявлялись в 6 % случаев, а в исследовании </w:t>
      </w:r>
      <w:r w:rsidRPr="004D77A4">
        <w:rPr>
          <w:rFonts w:ascii="Times New Roman" w:hAnsi="Times New Roman"/>
          <w:sz w:val="24"/>
          <w:szCs w:val="24"/>
          <w:lang w:val="en-US"/>
        </w:rPr>
        <w:t>A</w:t>
      </w:r>
      <w:r w:rsidRPr="004D77A4">
        <w:rPr>
          <w:rFonts w:ascii="Times New Roman" w:hAnsi="Times New Roman"/>
          <w:sz w:val="24"/>
          <w:szCs w:val="24"/>
        </w:rPr>
        <w:t>-</w:t>
      </w:r>
      <w:r w:rsidRPr="004D77A4">
        <w:rPr>
          <w:rFonts w:ascii="Times New Roman" w:hAnsi="Times New Roman"/>
          <w:sz w:val="24"/>
          <w:szCs w:val="24"/>
          <w:lang w:val="en-US"/>
        </w:rPr>
        <w:t>HIRATE</w:t>
      </w:r>
      <w:r>
        <w:rPr>
          <w:rFonts w:ascii="Times New Roman" w:hAnsi="Times New Roman"/>
          <w:sz w:val="24"/>
          <w:szCs w:val="24"/>
        </w:rPr>
        <w:t xml:space="preserve"> доля </w:t>
      </w:r>
      <w:proofErr w:type="spellStart"/>
      <w:r>
        <w:rPr>
          <w:rFonts w:ascii="Times New Roman" w:hAnsi="Times New Roman"/>
          <w:sz w:val="24"/>
          <w:szCs w:val="24"/>
        </w:rPr>
        <w:t>симптомных</w:t>
      </w:r>
      <w:proofErr w:type="spellEnd"/>
      <w:r>
        <w:rPr>
          <w:rFonts w:ascii="Times New Roman" w:hAnsi="Times New Roman"/>
          <w:sz w:val="24"/>
          <w:szCs w:val="24"/>
        </w:rPr>
        <w:t xml:space="preserve"> эпизодов составила всего 5,3 % </w:t>
      </w:r>
      <w:r w:rsidRPr="00210F8A">
        <w:rPr>
          <w:rFonts w:ascii="Times New Roman" w:hAnsi="Times New Roman"/>
          <w:sz w:val="24"/>
          <w:szCs w:val="24"/>
        </w:rPr>
        <w:t>[</w:t>
      </w:r>
      <w:r w:rsidR="00642F10">
        <w:rPr>
          <w:rFonts w:ascii="Times New Roman" w:hAnsi="Times New Roman"/>
          <w:sz w:val="24"/>
          <w:szCs w:val="24"/>
        </w:rPr>
        <w:t>7, 8</w:t>
      </w:r>
      <w:r w:rsidRPr="00210F8A">
        <w:rPr>
          <w:rFonts w:ascii="Times New Roman" w:hAnsi="Times New Roman"/>
          <w:sz w:val="24"/>
          <w:szCs w:val="24"/>
        </w:rPr>
        <w:t>]</w:t>
      </w:r>
      <w:r>
        <w:rPr>
          <w:rFonts w:ascii="Times New Roman" w:hAnsi="Times New Roman"/>
          <w:sz w:val="24"/>
          <w:szCs w:val="24"/>
        </w:rPr>
        <w:t xml:space="preserve">. Данная особенность может быть только частично объяснена короткой длительностью пароксизма. 75 % больных в нашем исследовании имели бессимптомные пароксизмы продолжительностью более 1 часа. Возможно, что такая высокая распространенность субклинической формы ФП является особенностью популяции российских пациентов. </w:t>
      </w:r>
    </w:p>
    <w:p w14:paraId="5FE24E1F" w14:textId="161665C6" w:rsidR="0005338E" w:rsidRDefault="0005338E" w:rsidP="0005338E">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Высказано предположение, что патогенез инсульта у больных с ФП включает в себя и другие механизмы помимо аритмии. Старение и основные факторы риска сердечно-сосудистых заболеваний приводят к патологическим изменениям в ткани предсердий, которые получили название предсердной </w:t>
      </w:r>
      <w:proofErr w:type="spellStart"/>
      <w:r>
        <w:rPr>
          <w:rFonts w:ascii="Times New Roman" w:hAnsi="Times New Roman"/>
          <w:sz w:val="24"/>
          <w:szCs w:val="24"/>
        </w:rPr>
        <w:t>кардиопатии</w:t>
      </w:r>
      <w:proofErr w:type="spellEnd"/>
      <w:r>
        <w:rPr>
          <w:rFonts w:ascii="Times New Roman" w:hAnsi="Times New Roman"/>
          <w:sz w:val="24"/>
          <w:szCs w:val="24"/>
        </w:rPr>
        <w:t xml:space="preserve">, основными проявлениями которой является ФП и внутрисердечное </w:t>
      </w:r>
      <w:proofErr w:type="spellStart"/>
      <w:r>
        <w:rPr>
          <w:rFonts w:ascii="Times New Roman" w:hAnsi="Times New Roman"/>
          <w:sz w:val="24"/>
          <w:szCs w:val="24"/>
        </w:rPr>
        <w:t>тромбообразование</w:t>
      </w:r>
      <w:proofErr w:type="spellEnd"/>
      <w:r>
        <w:rPr>
          <w:rFonts w:ascii="Times New Roman" w:hAnsi="Times New Roman"/>
          <w:sz w:val="24"/>
          <w:szCs w:val="24"/>
        </w:rPr>
        <w:t xml:space="preserve">.  Наличие ФП указывает на такие патологические изменения, как фиброз, эндотелиальная дисфункция, дилатация камер и др., которые в свою очередь сами ассоциированы с риском инсульта </w:t>
      </w:r>
      <w:r w:rsidRPr="00044269">
        <w:rPr>
          <w:rFonts w:ascii="Times New Roman" w:hAnsi="Times New Roman"/>
          <w:sz w:val="24"/>
          <w:szCs w:val="24"/>
        </w:rPr>
        <w:t>[</w:t>
      </w:r>
      <w:r w:rsidR="00642F10">
        <w:rPr>
          <w:rFonts w:ascii="Times New Roman" w:hAnsi="Times New Roman"/>
          <w:sz w:val="24"/>
          <w:szCs w:val="24"/>
        </w:rPr>
        <w:t>9</w:t>
      </w:r>
      <w:r w:rsidRPr="00044269">
        <w:rPr>
          <w:rFonts w:ascii="Times New Roman" w:hAnsi="Times New Roman"/>
          <w:sz w:val="24"/>
          <w:szCs w:val="24"/>
        </w:rPr>
        <w:t>]</w:t>
      </w:r>
      <w:r>
        <w:rPr>
          <w:rFonts w:ascii="Times New Roman" w:hAnsi="Times New Roman"/>
          <w:sz w:val="24"/>
          <w:szCs w:val="24"/>
        </w:rPr>
        <w:t xml:space="preserve">. В связи с этим вполне объяснимо, почему клиническое значение имеют достаточно короткие эпизоды ФП, а временная связь с ТЭО может отсутствовать. Так, например, только у 8 % пациентов с инсультом пароксизм ФП был зарегистрирован за месяц до события, у 16 % больных </w:t>
      </w:r>
      <w:r>
        <w:rPr>
          <w:rFonts w:ascii="Times New Roman" w:hAnsi="Times New Roman"/>
          <w:sz w:val="24"/>
          <w:szCs w:val="24"/>
        </w:rPr>
        <w:lastRenderedPageBreak/>
        <w:t xml:space="preserve">аритмия была выявлена уже после инсульта, у остальных среднее время от возникновения обратимого эпизода аритмии до развития ТЭО составило 339 дней </w:t>
      </w:r>
      <w:r w:rsidRPr="00CF2B79">
        <w:rPr>
          <w:rFonts w:ascii="Times New Roman" w:hAnsi="Times New Roman"/>
          <w:sz w:val="24"/>
          <w:szCs w:val="24"/>
        </w:rPr>
        <w:t>[</w:t>
      </w:r>
      <w:r w:rsidR="00642F10">
        <w:rPr>
          <w:rFonts w:ascii="Times New Roman" w:hAnsi="Times New Roman"/>
          <w:sz w:val="24"/>
          <w:szCs w:val="24"/>
        </w:rPr>
        <w:t>10</w:t>
      </w:r>
      <w:r w:rsidRPr="00CF2B79">
        <w:rPr>
          <w:rFonts w:ascii="Times New Roman" w:hAnsi="Times New Roman"/>
          <w:sz w:val="24"/>
          <w:szCs w:val="24"/>
        </w:rPr>
        <w:t>]</w:t>
      </w:r>
      <w:r>
        <w:rPr>
          <w:rFonts w:ascii="Times New Roman" w:hAnsi="Times New Roman"/>
          <w:sz w:val="24"/>
          <w:szCs w:val="24"/>
        </w:rPr>
        <w:t>.</w:t>
      </w:r>
    </w:p>
    <w:p w14:paraId="07DBF3C0" w14:textId="7E28DE4E" w:rsidR="0005338E" w:rsidRDefault="0005338E" w:rsidP="0005338E">
      <w:pPr>
        <w:spacing w:line="360" w:lineRule="auto"/>
        <w:ind w:firstLine="567"/>
        <w:contextualSpacing/>
        <w:jc w:val="both"/>
        <w:rPr>
          <w:rFonts w:ascii="Times New Roman" w:hAnsi="Times New Roman"/>
          <w:sz w:val="24"/>
          <w:szCs w:val="24"/>
        </w:rPr>
      </w:pPr>
      <w:r>
        <w:rPr>
          <w:rFonts w:ascii="Times New Roman" w:hAnsi="Times New Roman" w:cs="Times New Roman"/>
          <w:color w:val="000000"/>
          <w:sz w:val="24"/>
          <w:szCs w:val="24"/>
          <w:shd w:val="clear" w:color="auto" w:fill="FFFFFF"/>
        </w:rPr>
        <w:t xml:space="preserve">Согласно рекомендациям Европейского общества кардиологов по лечению ФП от 2016 года, пациентам с зарегистрированными ЭПВЧ, но без подтверждённой ФП, может быть назначена </w:t>
      </w:r>
      <w:proofErr w:type="spellStart"/>
      <w:r>
        <w:rPr>
          <w:rFonts w:ascii="Times New Roman" w:hAnsi="Times New Roman" w:cs="Times New Roman"/>
          <w:color w:val="000000"/>
          <w:sz w:val="24"/>
          <w:szCs w:val="24"/>
          <w:shd w:val="clear" w:color="auto" w:fill="FFFFFF"/>
        </w:rPr>
        <w:t>антикоагулянтная</w:t>
      </w:r>
      <w:proofErr w:type="spellEnd"/>
      <w:r>
        <w:rPr>
          <w:rFonts w:ascii="Times New Roman" w:hAnsi="Times New Roman" w:cs="Times New Roman"/>
          <w:color w:val="000000"/>
          <w:sz w:val="24"/>
          <w:szCs w:val="24"/>
          <w:shd w:val="clear" w:color="auto" w:fill="FFFFFF"/>
        </w:rPr>
        <w:t xml:space="preserve"> терапия в зависимости от уровня риска ТЭО и предпочтений больного. В данном исследовании все зарегистрированные ЭВПЧ являлись истинной ФП, подтверждённой в результате анализа ВЭГМ. Риск ТЭО оценивался по количеству баллов по шкале </w:t>
      </w:r>
      <w:r>
        <w:rPr>
          <w:rFonts w:ascii="Times New Roman" w:hAnsi="Times New Roman" w:cs="Times New Roman"/>
          <w:color w:val="000000"/>
          <w:sz w:val="24"/>
          <w:szCs w:val="24"/>
          <w:shd w:val="clear" w:color="auto" w:fill="FFFFFF"/>
          <w:lang w:val="en-US"/>
        </w:rPr>
        <w:t>CHA</w:t>
      </w:r>
      <w:r w:rsidRPr="00D3574E">
        <w:rPr>
          <w:rFonts w:ascii="Times New Roman" w:hAnsi="Times New Roman" w:cs="Times New Roman"/>
          <w:color w:val="000000"/>
          <w:sz w:val="24"/>
          <w:szCs w:val="24"/>
          <w:shd w:val="clear" w:color="auto" w:fill="FFFFFF"/>
          <w:vertAlign w:val="subscript"/>
        </w:rPr>
        <w:t>2</w:t>
      </w:r>
      <w:r>
        <w:rPr>
          <w:rFonts w:ascii="Times New Roman" w:hAnsi="Times New Roman" w:cs="Times New Roman"/>
          <w:color w:val="000000"/>
          <w:sz w:val="24"/>
          <w:szCs w:val="24"/>
          <w:shd w:val="clear" w:color="auto" w:fill="FFFFFF"/>
          <w:lang w:val="en-US"/>
        </w:rPr>
        <w:t>DS</w:t>
      </w:r>
      <w:r w:rsidRPr="00D3574E">
        <w:rPr>
          <w:rFonts w:ascii="Times New Roman" w:hAnsi="Times New Roman" w:cs="Times New Roman"/>
          <w:color w:val="000000"/>
          <w:sz w:val="24"/>
          <w:szCs w:val="24"/>
          <w:shd w:val="clear" w:color="auto" w:fill="FFFFFF"/>
          <w:vertAlign w:val="subscript"/>
        </w:rPr>
        <w:t>2</w:t>
      </w:r>
      <w:r w:rsidRPr="00D3574E">
        <w:rPr>
          <w:rFonts w:ascii="Times New Roman" w:hAnsi="Times New Roman" w:cs="Times New Roman"/>
          <w:color w:val="000000"/>
          <w:sz w:val="24"/>
          <w:szCs w:val="24"/>
          <w:shd w:val="clear" w:color="auto" w:fill="FFFFFF"/>
        </w:rPr>
        <w:t>-</w:t>
      </w:r>
      <w:proofErr w:type="spellStart"/>
      <w:r>
        <w:rPr>
          <w:rFonts w:ascii="Times New Roman" w:hAnsi="Times New Roman" w:cs="Times New Roman"/>
          <w:color w:val="000000"/>
          <w:sz w:val="24"/>
          <w:szCs w:val="24"/>
          <w:shd w:val="clear" w:color="auto" w:fill="FFFFFF"/>
          <w:lang w:val="en-US"/>
        </w:rPr>
        <w:t>VASc</w:t>
      </w:r>
      <w:proofErr w:type="spellEnd"/>
      <w:r>
        <w:rPr>
          <w:rFonts w:ascii="Times New Roman" w:hAnsi="Times New Roman" w:cs="Times New Roman"/>
          <w:color w:val="000000"/>
          <w:sz w:val="24"/>
          <w:szCs w:val="24"/>
          <w:shd w:val="clear" w:color="auto" w:fill="FFFFFF"/>
        </w:rPr>
        <w:t xml:space="preserve"> и составил &gt; 2 баллов у 93</w:t>
      </w:r>
      <w:r w:rsidRPr="006B228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пациентов, 2-3 балла у 17,6</w:t>
      </w:r>
      <w:r w:rsidRPr="006B228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6B228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 4 баллов у 80,7</w:t>
      </w:r>
      <w:r w:rsidRPr="006B228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больных. Исходя из рассчитанного риска, ОАК были назначены 53 (93</w:t>
      </w:r>
      <w:r w:rsidRPr="006B228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пациентам для постоянного приёма (всем больным были назначены новые антикоагулянты, исходя из их предпочтений). Остальным пациентам ОАК не были показаны ввиду низкого риска ТЭО или преходящей причины аритмии.</w:t>
      </w:r>
      <w:r w:rsidRPr="00A12BA3">
        <w:rPr>
          <w:rFonts w:ascii="Times New Roman" w:hAnsi="Times New Roman"/>
          <w:sz w:val="24"/>
          <w:szCs w:val="24"/>
        </w:rPr>
        <w:t xml:space="preserve"> </w:t>
      </w:r>
      <w:r>
        <w:rPr>
          <w:rFonts w:ascii="Times New Roman" w:hAnsi="Times New Roman"/>
          <w:sz w:val="24"/>
          <w:szCs w:val="24"/>
        </w:rPr>
        <w:t xml:space="preserve">Целесообразность применения антикоагулянтов у данной категории больных в настоящий момент изучается в исследованиях </w:t>
      </w:r>
      <w:proofErr w:type="spellStart"/>
      <w:r>
        <w:rPr>
          <w:rFonts w:ascii="Times New Roman" w:hAnsi="Times New Roman"/>
          <w:sz w:val="24"/>
          <w:szCs w:val="24"/>
          <w:lang w:val="en-US"/>
        </w:rPr>
        <w:t>ARTESiA</w:t>
      </w:r>
      <w:proofErr w:type="spellEnd"/>
      <w:r>
        <w:rPr>
          <w:rFonts w:ascii="Times New Roman" w:hAnsi="Times New Roman"/>
          <w:sz w:val="24"/>
          <w:szCs w:val="24"/>
        </w:rPr>
        <w:t xml:space="preserve"> и </w:t>
      </w:r>
      <w:r>
        <w:rPr>
          <w:rFonts w:ascii="Times New Roman" w:hAnsi="Times New Roman"/>
          <w:sz w:val="24"/>
          <w:szCs w:val="24"/>
          <w:lang w:val="en-US"/>
        </w:rPr>
        <w:t>NOAH</w:t>
      </w:r>
      <w:r w:rsidRPr="00760274">
        <w:rPr>
          <w:rFonts w:ascii="Times New Roman" w:hAnsi="Times New Roman"/>
          <w:sz w:val="24"/>
          <w:szCs w:val="24"/>
        </w:rPr>
        <w:t xml:space="preserve"> – </w:t>
      </w:r>
      <w:r>
        <w:rPr>
          <w:rFonts w:ascii="Times New Roman" w:hAnsi="Times New Roman"/>
          <w:sz w:val="24"/>
          <w:szCs w:val="24"/>
          <w:lang w:val="en-US"/>
        </w:rPr>
        <w:t>AFNET</w:t>
      </w:r>
      <w:r w:rsidRPr="00760274">
        <w:rPr>
          <w:rFonts w:ascii="Times New Roman" w:hAnsi="Times New Roman"/>
          <w:sz w:val="24"/>
          <w:szCs w:val="24"/>
        </w:rPr>
        <w:t xml:space="preserve"> 6 [</w:t>
      </w:r>
      <w:r w:rsidR="00642F10">
        <w:rPr>
          <w:rFonts w:ascii="Times New Roman" w:hAnsi="Times New Roman"/>
          <w:sz w:val="24"/>
          <w:szCs w:val="24"/>
        </w:rPr>
        <w:t>4</w:t>
      </w:r>
      <w:r w:rsidRPr="00760274">
        <w:rPr>
          <w:rFonts w:ascii="Times New Roman" w:hAnsi="Times New Roman"/>
          <w:sz w:val="24"/>
          <w:szCs w:val="24"/>
        </w:rPr>
        <w:t>]</w:t>
      </w:r>
      <w:r>
        <w:rPr>
          <w:rFonts w:ascii="Times New Roman" w:hAnsi="Times New Roman"/>
          <w:sz w:val="24"/>
          <w:szCs w:val="24"/>
        </w:rPr>
        <w:t>.</w:t>
      </w:r>
    </w:p>
    <w:p w14:paraId="1C22C33A" w14:textId="29FD70E1" w:rsidR="0005338E" w:rsidRDefault="0005338E" w:rsidP="0005338E">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При статистическом анализе полученных данных факторами риска выявления ФП являлись ТЭО в анамнезе, увеличение ИОЛП и снижение уровня гемоглобина. Известно, что увеличение ЛП является точно установленным фактором риска развития ФП </w:t>
      </w:r>
      <w:r w:rsidRPr="00EC1FD0">
        <w:rPr>
          <w:rFonts w:ascii="Times New Roman" w:hAnsi="Times New Roman"/>
          <w:sz w:val="24"/>
          <w:szCs w:val="24"/>
        </w:rPr>
        <w:t>[</w:t>
      </w:r>
      <w:r w:rsidR="00642F10">
        <w:rPr>
          <w:rFonts w:ascii="Times New Roman" w:hAnsi="Times New Roman"/>
          <w:sz w:val="24"/>
          <w:szCs w:val="24"/>
        </w:rPr>
        <w:t>11</w:t>
      </w:r>
      <w:r w:rsidRPr="00EC1FD0">
        <w:rPr>
          <w:rFonts w:ascii="Times New Roman" w:hAnsi="Times New Roman"/>
          <w:sz w:val="24"/>
          <w:szCs w:val="24"/>
        </w:rPr>
        <w:t>]</w:t>
      </w:r>
      <w:r>
        <w:rPr>
          <w:rFonts w:ascii="Times New Roman" w:hAnsi="Times New Roman"/>
          <w:sz w:val="24"/>
          <w:szCs w:val="24"/>
        </w:rPr>
        <w:t xml:space="preserve">, однако ранее это было неизвестно касательно больных с ЭКС. В нашем исследовании характеристикой ЛП был выбран индекс его объёма, как показатель, наиболее точно отражающий параметры камеры относительно конституциональных особенностей пациента. Также, по результатам проведённых исследований, наличие в анамнезе ишемического или криптогенного инсульта ассоциировано с риском выявления субклинической ФП </w:t>
      </w:r>
      <w:r w:rsidRPr="00910245">
        <w:rPr>
          <w:rFonts w:ascii="Times New Roman" w:hAnsi="Times New Roman"/>
          <w:sz w:val="24"/>
          <w:szCs w:val="24"/>
        </w:rPr>
        <w:t>[</w:t>
      </w:r>
      <w:r w:rsidR="00642F10">
        <w:rPr>
          <w:rFonts w:ascii="Times New Roman" w:hAnsi="Times New Roman"/>
          <w:sz w:val="24"/>
          <w:szCs w:val="24"/>
        </w:rPr>
        <w:t>3</w:t>
      </w:r>
      <w:bookmarkStart w:id="0" w:name="_GoBack"/>
      <w:bookmarkEnd w:id="0"/>
      <w:r w:rsidRPr="00910245">
        <w:rPr>
          <w:rFonts w:ascii="Times New Roman" w:hAnsi="Times New Roman"/>
          <w:sz w:val="24"/>
          <w:szCs w:val="24"/>
        </w:rPr>
        <w:t>]</w:t>
      </w:r>
      <w:r>
        <w:rPr>
          <w:rFonts w:ascii="Times New Roman" w:hAnsi="Times New Roman"/>
          <w:sz w:val="24"/>
          <w:szCs w:val="24"/>
        </w:rPr>
        <w:t xml:space="preserve">. Интересной находкой, по данным нашего регистра, является влияние уровня гемоглобина на риск выявления ФП. Относительный риск достаточно высок, однако механизм этого влияния не вполне ясен. Не исключено влияние повышенного тонуса симпатоадреналовой системы в ответ на анемию. Другие известные факторы риска возникновения ФП (возраст, снижение ФВ ЛЖ, ГБ) не оказали влияния на </w:t>
      </w:r>
      <w:proofErr w:type="spellStart"/>
      <w:r>
        <w:rPr>
          <w:rFonts w:ascii="Times New Roman" w:hAnsi="Times New Roman"/>
          <w:sz w:val="24"/>
          <w:szCs w:val="24"/>
        </w:rPr>
        <w:t>выявляемость</w:t>
      </w:r>
      <w:proofErr w:type="spellEnd"/>
      <w:r>
        <w:rPr>
          <w:rFonts w:ascii="Times New Roman" w:hAnsi="Times New Roman"/>
          <w:sz w:val="24"/>
          <w:szCs w:val="24"/>
        </w:rPr>
        <w:t xml:space="preserve"> аритмии, что вероятно, связано с клинико-демографическими особенностями изучаемой группы пациентов - средний возраст 75</w:t>
      </w:r>
      <w:r>
        <w:rPr>
          <w:rFonts w:ascii="Times New Roman" w:hAnsi="Times New Roman" w:cs="Times New Roman"/>
          <w:sz w:val="24"/>
          <w:szCs w:val="24"/>
        </w:rPr>
        <w:t>±</w:t>
      </w:r>
      <w:r>
        <w:rPr>
          <w:rFonts w:ascii="Times New Roman" w:hAnsi="Times New Roman"/>
          <w:sz w:val="24"/>
          <w:szCs w:val="24"/>
        </w:rPr>
        <w:t>8 лет, среднее значение ФВ ЛЖ 59</w:t>
      </w:r>
      <w:r>
        <w:rPr>
          <w:rFonts w:ascii="Times New Roman" w:hAnsi="Times New Roman" w:cs="Times New Roman"/>
          <w:sz w:val="24"/>
          <w:szCs w:val="24"/>
        </w:rPr>
        <w:t>±</w:t>
      </w:r>
      <w:r>
        <w:rPr>
          <w:rFonts w:ascii="Times New Roman" w:hAnsi="Times New Roman"/>
          <w:sz w:val="24"/>
          <w:szCs w:val="24"/>
        </w:rPr>
        <w:t xml:space="preserve"> 8</w:t>
      </w:r>
      <w:r w:rsidRPr="00D947A2">
        <w:rPr>
          <w:rFonts w:ascii="Times New Roman" w:hAnsi="Times New Roman"/>
          <w:sz w:val="24"/>
          <w:szCs w:val="24"/>
        </w:rPr>
        <w:t xml:space="preserve"> </w:t>
      </w:r>
      <w:r>
        <w:rPr>
          <w:rFonts w:ascii="Times New Roman" w:hAnsi="Times New Roman"/>
          <w:sz w:val="24"/>
          <w:szCs w:val="24"/>
        </w:rPr>
        <w:t>%, доля пациентов с ГБ - 93,8</w:t>
      </w:r>
      <w:r w:rsidRPr="00D947A2">
        <w:rPr>
          <w:rFonts w:ascii="Times New Roman" w:hAnsi="Times New Roman"/>
          <w:sz w:val="24"/>
          <w:szCs w:val="24"/>
        </w:rPr>
        <w:t xml:space="preserve"> </w:t>
      </w:r>
      <w:r>
        <w:rPr>
          <w:rFonts w:ascii="Times New Roman" w:hAnsi="Times New Roman"/>
          <w:sz w:val="24"/>
          <w:szCs w:val="24"/>
        </w:rPr>
        <w:t>%.</w:t>
      </w:r>
    </w:p>
    <w:p w14:paraId="7CA83D91" w14:textId="77777777" w:rsidR="0005338E" w:rsidRDefault="0005338E" w:rsidP="0005338E">
      <w:pPr>
        <w:spacing w:line="360" w:lineRule="auto"/>
        <w:ind w:firstLine="567"/>
        <w:contextualSpacing/>
        <w:jc w:val="both"/>
        <w:rPr>
          <w:rFonts w:ascii="Times New Roman" w:hAnsi="Times New Roman" w:cs="Times New Roman"/>
          <w:b/>
          <w:sz w:val="24"/>
          <w:szCs w:val="24"/>
        </w:rPr>
      </w:pPr>
    </w:p>
    <w:p w14:paraId="5D4ED80A" w14:textId="77777777" w:rsidR="0005338E" w:rsidRDefault="0005338E" w:rsidP="0005338E">
      <w:pPr>
        <w:spacing w:line="360" w:lineRule="auto"/>
        <w:ind w:firstLine="567"/>
        <w:contextualSpacing/>
        <w:jc w:val="both"/>
        <w:rPr>
          <w:rFonts w:ascii="Times New Roman" w:hAnsi="Times New Roman" w:cs="Times New Roman"/>
          <w:b/>
          <w:sz w:val="24"/>
          <w:szCs w:val="24"/>
        </w:rPr>
      </w:pPr>
      <w:r w:rsidRPr="00364C41">
        <w:rPr>
          <w:rFonts w:ascii="Times New Roman" w:hAnsi="Times New Roman" w:cs="Times New Roman"/>
          <w:b/>
          <w:sz w:val="24"/>
          <w:szCs w:val="24"/>
        </w:rPr>
        <w:t>ЗАКЛЮЧЕНИЕ</w:t>
      </w:r>
    </w:p>
    <w:p w14:paraId="34C2D4EB" w14:textId="77777777" w:rsidR="0005338E" w:rsidRDefault="0005338E" w:rsidP="0005338E">
      <w:pPr>
        <w:spacing w:line="360" w:lineRule="auto"/>
        <w:ind w:firstLine="567"/>
        <w:contextualSpacing/>
        <w:jc w:val="both"/>
        <w:rPr>
          <w:rFonts w:ascii="Times New Roman" w:hAnsi="Times New Roman" w:cs="Times New Roman"/>
          <w:sz w:val="24"/>
          <w:szCs w:val="24"/>
        </w:rPr>
      </w:pPr>
    </w:p>
    <w:p w14:paraId="316F1AAE" w14:textId="77777777" w:rsidR="0005338E" w:rsidRDefault="0005338E" w:rsidP="0005338E">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ФП</w:t>
      </w:r>
      <w:r w:rsidRPr="00F93E09">
        <w:rPr>
          <w:rFonts w:ascii="Times New Roman" w:hAnsi="Times New Roman" w:cs="Times New Roman"/>
          <w:sz w:val="24"/>
          <w:szCs w:val="24"/>
        </w:rPr>
        <w:t xml:space="preserve"> является </w:t>
      </w:r>
      <w:r>
        <w:rPr>
          <w:rFonts w:ascii="Times New Roman" w:hAnsi="Times New Roman" w:cs="Times New Roman"/>
          <w:sz w:val="24"/>
          <w:szCs w:val="24"/>
        </w:rPr>
        <w:t>крайне</w:t>
      </w:r>
      <w:r w:rsidRPr="00F93E09">
        <w:rPr>
          <w:rFonts w:ascii="Times New Roman" w:hAnsi="Times New Roman" w:cs="Times New Roman"/>
          <w:sz w:val="24"/>
          <w:szCs w:val="24"/>
        </w:rPr>
        <w:t xml:space="preserve"> важным фактором риска </w:t>
      </w:r>
      <w:proofErr w:type="spellStart"/>
      <w:r>
        <w:rPr>
          <w:rFonts w:ascii="Times New Roman" w:hAnsi="Times New Roman" w:cs="Times New Roman"/>
          <w:sz w:val="24"/>
          <w:szCs w:val="24"/>
        </w:rPr>
        <w:t>кардиоэмболического</w:t>
      </w:r>
      <w:proofErr w:type="spellEnd"/>
      <w:r>
        <w:rPr>
          <w:rFonts w:ascii="Times New Roman" w:hAnsi="Times New Roman" w:cs="Times New Roman"/>
          <w:sz w:val="24"/>
          <w:szCs w:val="24"/>
        </w:rPr>
        <w:t xml:space="preserve"> </w:t>
      </w:r>
      <w:r w:rsidRPr="00F93E09">
        <w:rPr>
          <w:rFonts w:ascii="Times New Roman" w:hAnsi="Times New Roman" w:cs="Times New Roman"/>
          <w:sz w:val="24"/>
          <w:szCs w:val="24"/>
        </w:rPr>
        <w:t xml:space="preserve">инсульта и других тромбоэмболических </w:t>
      </w:r>
      <w:r>
        <w:rPr>
          <w:rFonts w:ascii="Times New Roman" w:hAnsi="Times New Roman" w:cs="Times New Roman"/>
          <w:sz w:val="24"/>
          <w:szCs w:val="24"/>
        </w:rPr>
        <w:t>осложнений</w:t>
      </w:r>
      <w:r w:rsidRPr="00F93E09">
        <w:rPr>
          <w:rFonts w:ascii="Times New Roman" w:hAnsi="Times New Roman" w:cs="Times New Roman"/>
          <w:sz w:val="24"/>
          <w:szCs w:val="24"/>
        </w:rPr>
        <w:t xml:space="preserve">. </w:t>
      </w:r>
      <w:r w:rsidRPr="00D93310">
        <w:rPr>
          <w:rFonts w:ascii="Times New Roman" w:hAnsi="Times New Roman" w:cs="Times New Roman"/>
          <w:sz w:val="24"/>
          <w:szCs w:val="24"/>
        </w:rPr>
        <w:t>Проведённое исследование показало довольно высокую распространённость ФП у пациентов с ЭКС.</w:t>
      </w:r>
      <w:r>
        <w:rPr>
          <w:rFonts w:ascii="Times New Roman" w:hAnsi="Times New Roman" w:cs="Times New Roman"/>
          <w:sz w:val="24"/>
          <w:szCs w:val="24"/>
        </w:rPr>
        <w:t xml:space="preserve"> Наиболее часто ФП выявлялась в первые 3 </w:t>
      </w:r>
      <w:r>
        <w:rPr>
          <w:rFonts w:ascii="Times New Roman" w:hAnsi="Times New Roman" w:cs="Times New Roman"/>
          <w:sz w:val="24"/>
          <w:szCs w:val="24"/>
        </w:rPr>
        <w:lastRenderedPageBreak/>
        <w:t xml:space="preserve">месяца наблюдения. Превалирование </w:t>
      </w:r>
      <w:proofErr w:type="spellStart"/>
      <w:r>
        <w:rPr>
          <w:rFonts w:ascii="Times New Roman" w:hAnsi="Times New Roman" w:cs="Times New Roman"/>
          <w:sz w:val="24"/>
          <w:szCs w:val="24"/>
        </w:rPr>
        <w:t>асимптомных</w:t>
      </w:r>
      <w:proofErr w:type="spellEnd"/>
      <w:r>
        <w:rPr>
          <w:rFonts w:ascii="Times New Roman" w:hAnsi="Times New Roman" w:cs="Times New Roman"/>
          <w:sz w:val="24"/>
          <w:szCs w:val="24"/>
        </w:rPr>
        <w:t xml:space="preserve"> эпизодов делает данный метод выявления аритмии крайне важным в плане назначения </w:t>
      </w:r>
      <w:proofErr w:type="spellStart"/>
      <w:r>
        <w:rPr>
          <w:rFonts w:ascii="Times New Roman" w:hAnsi="Times New Roman" w:cs="Times New Roman"/>
          <w:sz w:val="24"/>
          <w:szCs w:val="24"/>
        </w:rPr>
        <w:t>антикоагулянтной</w:t>
      </w:r>
      <w:proofErr w:type="spellEnd"/>
      <w:r>
        <w:rPr>
          <w:rFonts w:ascii="Times New Roman" w:hAnsi="Times New Roman" w:cs="Times New Roman"/>
          <w:sz w:val="24"/>
          <w:szCs w:val="24"/>
        </w:rPr>
        <w:t xml:space="preserve"> терапии с целью профилактики ТЭО. Факторами риска выявления ФП у данной категории больных явились ТЭО в анамнезе, увеличение ИОЛП и снижение уровня гемоглобина.</w:t>
      </w:r>
    </w:p>
    <w:p w14:paraId="0E5F60DA" w14:textId="77777777" w:rsidR="0005338E" w:rsidRDefault="0005338E" w:rsidP="0005338E">
      <w:pPr>
        <w:spacing w:line="360" w:lineRule="auto"/>
        <w:ind w:firstLine="567"/>
        <w:contextualSpacing/>
        <w:jc w:val="both"/>
        <w:rPr>
          <w:rFonts w:ascii="Times New Roman" w:hAnsi="Times New Roman" w:cs="Times New Roman"/>
          <w:sz w:val="24"/>
          <w:szCs w:val="24"/>
        </w:rPr>
      </w:pPr>
    </w:p>
    <w:p w14:paraId="7C13444A" w14:textId="77777777" w:rsidR="0005338E" w:rsidRPr="001F2A24" w:rsidRDefault="0005338E" w:rsidP="0005338E">
      <w:pPr>
        <w:spacing w:before="100" w:beforeAutospacing="1" w:after="100" w:afterAutospacing="1" w:line="360" w:lineRule="auto"/>
        <w:ind w:firstLine="567"/>
        <w:contextualSpacing/>
        <w:jc w:val="both"/>
        <w:rPr>
          <w:rFonts w:ascii="Times New Roman" w:hAnsi="Times New Roman"/>
          <w:sz w:val="24"/>
          <w:szCs w:val="24"/>
        </w:rPr>
      </w:pPr>
    </w:p>
    <w:p w14:paraId="0A2FB476" w14:textId="77777777" w:rsidR="0005338E" w:rsidRPr="00610E93" w:rsidRDefault="0005338E" w:rsidP="0005338E">
      <w:pPr>
        <w:spacing w:before="100" w:beforeAutospacing="1" w:after="100" w:afterAutospacing="1" w:line="360" w:lineRule="auto"/>
        <w:ind w:firstLine="567"/>
        <w:contextualSpacing/>
        <w:jc w:val="both"/>
        <w:rPr>
          <w:rFonts w:ascii="Times New Roman" w:hAnsi="Times New Roman"/>
          <w:sz w:val="24"/>
          <w:szCs w:val="24"/>
        </w:rPr>
      </w:pPr>
    </w:p>
    <w:p w14:paraId="55272FAF" w14:textId="77777777" w:rsidR="0005338E" w:rsidRPr="00AD53C7" w:rsidRDefault="0005338E" w:rsidP="0005338E">
      <w:pPr>
        <w:pStyle w:val="a3"/>
        <w:numPr>
          <w:ilvl w:val="0"/>
          <w:numId w:val="2"/>
        </w:numPr>
        <w:shd w:val="clear" w:color="auto" w:fill="FFFFFF"/>
        <w:spacing w:after="0" w:line="480" w:lineRule="auto"/>
        <w:ind w:left="284"/>
        <w:jc w:val="both"/>
        <w:textAlignment w:val="baseline"/>
        <w:rPr>
          <w:rFonts w:ascii="Times New Roman" w:hAnsi="Times New Roman"/>
          <w:bCs/>
          <w:color w:val="000000" w:themeColor="text1"/>
          <w:sz w:val="24"/>
          <w:szCs w:val="24"/>
          <w:lang w:val="en-US"/>
        </w:rPr>
      </w:pPr>
      <w:proofErr w:type="spellStart"/>
      <w:r w:rsidRPr="00AD53C7">
        <w:rPr>
          <w:rFonts w:ascii="Times New Roman" w:hAnsi="Times New Roman"/>
          <w:color w:val="000000" w:themeColor="text1"/>
          <w:sz w:val="24"/>
          <w:szCs w:val="24"/>
          <w:lang w:val="en-US"/>
        </w:rPr>
        <w:t>Chugh</w:t>
      </w:r>
      <w:proofErr w:type="spellEnd"/>
      <w:r w:rsidRPr="00AD53C7">
        <w:rPr>
          <w:rFonts w:ascii="Times New Roman" w:hAnsi="Times New Roman"/>
          <w:color w:val="000000" w:themeColor="text1"/>
          <w:sz w:val="24"/>
          <w:szCs w:val="24"/>
          <w:lang w:val="en-US"/>
        </w:rPr>
        <w:t xml:space="preserve"> S, </w:t>
      </w:r>
      <w:proofErr w:type="spellStart"/>
      <w:r w:rsidRPr="00AD53C7">
        <w:rPr>
          <w:rFonts w:ascii="Times New Roman" w:hAnsi="Times New Roman"/>
          <w:color w:val="000000" w:themeColor="text1"/>
          <w:sz w:val="24"/>
          <w:szCs w:val="24"/>
          <w:lang w:val="en-US"/>
        </w:rPr>
        <w:t>Havmoeller</w:t>
      </w:r>
      <w:proofErr w:type="spellEnd"/>
      <w:r w:rsidRPr="00AD53C7">
        <w:rPr>
          <w:rFonts w:ascii="Times New Roman" w:hAnsi="Times New Roman"/>
          <w:color w:val="000000" w:themeColor="text1"/>
          <w:sz w:val="24"/>
          <w:szCs w:val="24"/>
          <w:lang w:val="en-US"/>
        </w:rPr>
        <w:t xml:space="preserve"> R, Narayanan K, et al. Worldwide epidemiology of atrial fibrillation: a Global Burden of Disease 2010 Study. Circulation 2014</w:t>
      </w:r>
      <w:proofErr w:type="gramStart"/>
      <w:r w:rsidRPr="00AD53C7">
        <w:rPr>
          <w:rFonts w:ascii="Times New Roman" w:hAnsi="Times New Roman"/>
          <w:color w:val="000000" w:themeColor="text1"/>
          <w:sz w:val="24"/>
          <w:szCs w:val="24"/>
          <w:lang w:val="en-US"/>
        </w:rPr>
        <w:t>;129:837</w:t>
      </w:r>
      <w:proofErr w:type="gramEnd"/>
      <w:r w:rsidRPr="00AD53C7">
        <w:rPr>
          <w:rFonts w:ascii="Times New Roman" w:hAnsi="Times New Roman"/>
          <w:color w:val="000000" w:themeColor="text1"/>
          <w:sz w:val="24"/>
          <w:szCs w:val="24"/>
          <w:lang w:val="en-US"/>
        </w:rPr>
        <w:t>–847.</w:t>
      </w:r>
    </w:p>
    <w:p w14:paraId="5B5D3480" w14:textId="77777777" w:rsidR="0005338E" w:rsidRPr="00AD53C7" w:rsidRDefault="0005338E" w:rsidP="0005338E">
      <w:pPr>
        <w:pStyle w:val="a3"/>
        <w:numPr>
          <w:ilvl w:val="0"/>
          <w:numId w:val="2"/>
        </w:numPr>
        <w:shd w:val="clear" w:color="auto" w:fill="FFFFFF"/>
        <w:spacing w:after="0" w:line="480" w:lineRule="auto"/>
        <w:ind w:left="284"/>
        <w:jc w:val="both"/>
        <w:textAlignment w:val="baseline"/>
        <w:rPr>
          <w:rFonts w:ascii="Times New Roman" w:hAnsi="Times New Roman"/>
          <w:bCs/>
          <w:color w:val="000000" w:themeColor="text1"/>
          <w:sz w:val="24"/>
          <w:szCs w:val="24"/>
          <w:lang w:val="en-US"/>
        </w:rPr>
      </w:pPr>
      <w:r w:rsidRPr="00AD53C7">
        <w:rPr>
          <w:rFonts w:ascii="Times New Roman" w:hAnsi="Times New Roman"/>
          <w:color w:val="000000" w:themeColor="text1"/>
          <w:sz w:val="24"/>
          <w:szCs w:val="24"/>
          <w:lang w:val="en-US"/>
        </w:rPr>
        <w:t xml:space="preserve">Kishore A, Vail A, </w:t>
      </w:r>
      <w:proofErr w:type="spellStart"/>
      <w:r w:rsidRPr="00AD53C7">
        <w:rPr>
          <w:rFonts w:ascii="Times New Roman" w:hAnsi="Times New Roman"/>
          <w:color w:val="000000" w:themeColor="text1"/>
          <w:sz w:val="24"/>
          <w:szCs w:val="24"/>
          <w:lang w:val="en-US"/>
        </w:rPr>
        <w:t>Majid</w:t>
      </w:r>
      <w:proofErr w:type="spellEnd"/>
      <w:r w:rsidRPr="00AD53C7">
        <w:rPr>
          <w:rFonts w:ascii="Times New Roman" w:hAnsi="Times New Roman"/>
          <w:color w:val="000000" w:themeColor="text1"/>
          <w:sz w:val="24"/>
          <w:szCs w:val="24"/>
          <w:lang w:val="en-US"/>
        </w:rPr>
        <w:t xml:space="preserve"> A, et al. Detection of atrial fibrillation after ischemic stroke or transient ischemic attack: a systematic review and meta-analysis. Stroke 2014</w:t>
      </w:r>
      <w:proofErr w:type="gramStart"/>
      <w:r w:rsidRPr="00AD53C7">
        <w:rPr>
          <w:rFonts w:ascii="Times New Roman" w:hAnsi="Times New Roman"/>
          <w:color w:val="000000" w:themeColor="text1"/>
          <w:sz w:val="24"/>
          <w:szCs w:val="24"/>
          <w:lang w:val="en-US"/>
        </w:rPr>
        <w:t>;45:520</w:t>
      </w:r>
      <w:proofErr w:type="gramEnd"/>
      <w:r w:rsidRPr="00AD53C7">
        <w:rPr>
          <w:rFonts w:ascii="Times New Roman" w:hAnsi="Times New Roman"/>
          <w:color w:val="000000" w:themeColor="text1"/>
          <w:sz w:val="24"/>
          <w:szCs w:val="24"/>
          <w:lang w:val="en-US"/>
        </w:rPr>
        <w:t>–526.</w:t>
      </w:r>
    </w:p>
    <w:p w14:paraId="4FF86B04" w14:textId="53F733F0" w:rsidR="00186B31" w:rsidRPr="00E211A6" w:rsidRDefault="00186B31" w:rsidP="00186B31">
      <w:pPr>
        <w:pStyle w:val="a3"/>
        <w:numPr>
          <w:ilvl w:val="0"/>
          <w:numId w:val="2"/>
        </w:numPr>
        <w:shd w:val="clear" w:color="auto" w:fill="FFFFFF"/>
        <w:spacing w:after="0" w:line="480" w:lineRule="auto"/>
        <w:ind w:left="284"/>
        <w:jc w:val="both"/>
        <w:textAlignment w:val="baseline"/>
        <w:rPr>
          <w:rFonts w:ascii="Times New Roman" w:hAnsi="Times New Roman"/>
          <w:bCs/>
          <w:color w:val="000000" w:themeColor="text1"/>
          <w:sz w:val="24"/>
          <w:szCs w:val="24"/>
          <w:lang w:val="en-US"/>
        </w:rPr>
      </w:pPr>
      <w:hyperlink r:id="rId6" w:history="1">
        <w:r w:rsidRPr="00AD53C7">
          <w:rPr>
            <w:rStyle w:val="a4"/>
            <w:rFonts w:ascii="Times New Roman" w:hAnsi="Times New Roman"/>
            <w:color w:val="000000" w:themeColor="text1"/>
            <w:sz w:val="24"/>
            <w:szCs w:val="24"/>
            <w:u w:val="none"/>
            <w:lang w:val="en-US"/>
          </w:rPr>
          <w:t>Kennedy HL</w:t>
        </w:r>
      </w:hyperlink>
      <w:r w:rsidRPr="00AD53C7">
        <w:rPr>
          <w:rStyle w:val="a4"/>
          <w:rFonts w:ascii="Times New Roman" w:hAnsi="Times New Roman"/>
          <w:color w:val="000000" w:themeColor="text1"/>
          <w:sz w:val="24"/>
          <w:szCs w:val="24"/>
          <w:u w:val="none"/>
          <w:lang w:val="en-US"/>
        </w:rPr>
        <w:t xml:space="preserve">. </w:t>
      </w:r>
      <w:r w:rsidRPr="00AD53C7">
        <w:rPr>
          <w:rStyle w:val="highlight"/>
          <w:rFonts w:ascii="Times New Roman" w:hAnsi="Times New Roman"/>
          <w:color w:val="000000" w:themeColor="text1"/>
          <w:sz w:val="24"/>
          <w:szCs w:val="24"/>
          <w:lang w:val="en-US"/>
        </w:rPr>
        <w:t>Silent</w:t>
      </w:r>
      <w:r w:rsidRPr="00AD53C7">
        <w:rPr>
          <w:rStyle w:val="apple-converted-space"/>
          <w:rFonts w:ascii="Times New Roman" w:hAnsi="Times New Roman"/>
          <w:color w:val="000000" w:themeColor="text1"/>
          <w:sz w:val="24"/>
          <w:szCs w:val="24"/>
          <w:lang w:val="en-US"/>
        </w:rPr>
        <w:t> </w:t>
      </w:r>
      <w:r w:rsidRPr="00AD53C7">
        <w:rPr>
          <w:rStyle w:val="highlight"/>
          <w:rFonts w:ascii="Times New Roman" w:hAnsi="Times New Roman"/>
          <w:color w:val="000000" w:themeColor="text1"/>
          <w:sz w:val="24"/>
          <w:szCs w:val="24"/>
          <w:lang w:val="en-US"/>
        </w:rPr>
        <w:t>Atrial Fibrillation</w:t>
      </w:r>
      <w:r w:rsidRPr="00AD53C7">
        <w:rPr>
          <w:rFonts w:ascii="Times New Roman" w:hAnsi="Times New Roman"/>
          <w:color w:val="000000" w:themeColor="text1"/>
          <w:sz w:val="24"/>
          <w:szCs w:val="24"/>
          <w:lang w:val="en-US"/>
        </w:rPr>
        <w:t xml:space="preserve">: Definition, Clarification, and Unanswered Issues. </w:t>
      </w:r>
      <w:hyperlink r:id="rId7" w:tooltip="Annals of noninvasive electrocardiology : the official journal of the International Society for Holter and Noninvasive Electrocardiology, Inc." w:history="1">
        <w:r w:rsidRPr="00AD53C7">
          <w:rPr>
            <w:rStyle w:val="a4"/>
            <w:rFonts w:ascii="Times New Roman" w:hAnsi="Times New Roman"/>
            <w:color w:val="000000" w:themeColor="text1"/>
            <w:sz w:val="24"/>
            <w:szCs w:val="24"/>
            <w:u w:val="none"/>
            <w:lang w:val="en-US"/>
          </w:rPr>
          <w:t xml:space="preserve">Ann Noninvasive </w:t>
        </w:r>
        <w:proofErr w:type="spellStart"/>
        <w:r w:rsidRPr="00AD53C7">
          <w:rPr>
            <w:rStyle w:val="a4"/>
            <w:rFonts w:ascii="Times New Roman" w:hAnsi="Times New Roman"/>
            <w:color w:val="000000" w:themeColor="text1"/>
            <w:sz w:val="24"/>
            <w:szCs w:val="24"/>
            <w:u w:val="none"/>
            <w:lang w:val="en-US"/>
          </w:rPr>
          <w:t>Electrocardiol</w:t>
        </w:r>
        <w:proofErr w:type="spellEnd"/>
        <w:r w:rsidRPr="00AD53C7">
          <w:rPr>
            <w:rStyle w:val="a4"/>
            <w:rFonts w:ascii="Times New Roman" w:hAnsi="Times New Roman"/>
            <w:color w:val="000000" w:themeColor="text1"/>
            <w:sz w:val="24"/>
            <w:szCs w:val="24"/>
            <w:u w:val="none"/>
            <w:lang w:val="en-US"/>
          </w:rPr>
          <w:t>.</w:t>
        </w:r>
      </w:hyperlink>
      <w:r w:rsidRPr="00AD53C7">
        <w:rPr>
          <w:rStyle w:val="apple-converted-space"/>
          <w:rFonts w:ascii="Times New Roman" w:hAnsi="Times New Roman"/>
          <w:color w:val="000000" w:themeColor="text1"/>
          <w:sz w:val="24"/>
          <w:szCs w:val="24"/>
          <w:lang w:val="en-US"/>
        </w:rPr>
        <w:t> </w:t>
      </w:r>
      <w:r>
        <w:rPr>
          <w:rFonts w:ascii="Times New Roman" w:hAnsi="Times New Roman"/>
          <w:color w:val="000000" w:themeColor="text1"/>
          <w:sz w:val="24"/>
          <w:szCs w:val="24"/>
          <w:lang w:val="en-US"/>
        </w:rPr>
        <w:t>2015 Nov</w:t>
      </w:r>
      <w:proofErr w:type="gramStart"/>
      <w:r>
        <w:rPr>
          <w:rFonts w:ascii="Times New Roman" w:hAnsi="Times New Roman"/>
          <w:color w:val="000000" w:themeColor="text1"/>
          <w:sz w:val="24"/>
          <w:szCs w:val="24"/>
          <w:lang w:val="en-US"/>
        </w:rPr>
        <w:t>;20</w:t>
      </w:r>
      <w:proofErr w:type="gramEnd"/>
      <w:r>
        <w:rPr>
          <w:rFonts w:ascii="Times New Roman" w:hAnsi="Times New Roman"/>
          <w:color w:val="000000" w:themeColor="text1"/>
          <w:sz w:val="24"/>
          <w:szCs w:val="24"/>
          <w:lang w:val="en-US"/>
        </w:rPr>
        <w:t>(6):518-25</w:t>
      </w:r>
      <w:r w:rsidR="00E211A6">
        <w:rPr>
          <w:rFonts w:ascii="Times New Roman" w:hAnsi="Times New Roman"/>
          <w:color w:val="000000" w:themeColor="text1"/>
          <w:sz w:val="24"/>
          <w:szCs w:val="24"/>
          <w:lang w:val="en-US"/>
        </w:rPr>
        <w:t>.</w:t>
      </w:r>
    </w:p>
    <w:p w14:paraId="65A70853" w14:textId="4DD5BBBE" w:rsidR="00E211A6" w:rsidRPr="00E211A6" w:rsidRDefault="00E211A6" w:rsidP="00E211A6">
      <w:pPr>
        <w:pStyle w:val="a3"/>
        <w:numPr>
          <w:ilvl w:val="0"/>
          <w:numId w:val="2"/>
        </w:numPr>
        <w:shd w:val="clear" w:color="auto" w:fill="FFFFFF"/>
        <w:spacing w:after="0" w:line="480" w:lineRule="auto"/>
        <w:ind w:left="284"/>
        <w:jc w:val="both"/>
        <w:textAlignment w:val="baseline"/>
        <w:rPr>
          <w:rFonts w:ascii="Times New Roman" w:hAnsi="Times New Roman"/>
          <w:bCs/>
          <w:color w:val="000000" w:themeColor="text1"/>
          <w:sz w:val="24"/>
          <w:szCs w:val="24"/>
          <w:lang w:val="en-US"/>
        </w:rPr>
      </w:pPr>
      <w:proofErr w:type="spellStart"/>
      <w:r w:rsidRPr="00AD53C7">
        <w:rPr>
          <w:rFonts w:ascii="Times New Roman" w:hAnsi="Times New Roman"/>
          <w:color w:val="000000" w:themeColor="text1"/>
          <w:sz w:val="24"/>
          <w:szCs w:val="24"/>
          <w:lang w:val="en-US"/>
        </w:rPr>
        <w:t>Kirchhof</w:t>
      </w:r>
      <w:proofErr w:type="spellEnd"/>
      <w:r w:rsidRPr="00AD53C7">
        <w:rPr>
          <w:rFonts w:ascii="Times New Roman" w:hAnsi="Times New Roman"/>
          <w:color w:val="000000" w:themeColor="text1"/>
          <w:sz w:val="24"/>
          <w:szCs w:val="24"/>
          <w:lang w:val="en-US"/>
        </w:rPr>
        <w:t xml:space="preserve"> P, </w:t>
      </w:r>
      <w:proofErr w:type="spellStart"/>
      <w:r w:rsidRPr="00AD53C7">
        <w:rPr>
          <w:rFonts w:ascii="Times New Roman" w:hAnsi="Times New Roman"/>
          <w:color w:val="000000" w:themeColor="text1"/>
          <w:sz w:val="24"/>
          <w:szCs w:val="24"/>
          <w:lang w:val="en-US"/>
        </w:rPr>
        <w:t>Benussi</w:t>
      </w:r>
      <w:proofErr w:type="spellEnd"/>
      <w:r w:rsidRPr="00AD53C7">
        <w:rPr>
          <w:rFonts w:ascii="Times New Roman" w:hAnsi="Times New Roman"/>
          <w:color w:val="000000" w:themeColor="text1"/>
          <w:sz w:val="24"/>
          <w:szCs w:val="24"/>
          <w:lang w:val="en-US"/>
        </w:rPr>
        <w:t xml:space="preserve"> S, </w:t>
      </w:r>
      <w:proofErr w:type="spellStart"/>
      <w:r w:rsidRPr="00AD53C7">
        <w:rPr>
          <w:rFonts w:ascii="Times New Roman" w:hAnsi="Times New Roman"/>
          <w:color w:val="000000" w:themeColor="text1"/>
          <w:sz w:val="24"/>
          <w:szCs w:val="24"/>
          <w:lang w:val="en-US"/>
        </w:rPr>
        <w:t>Kotecha</w:t>
      </w:r>
      <w:proofErr w:type="spellEnd"/>
      <w:r w:rsidRPr="00AD53C7">
        <w:rPr>
          <w:rFonts w:ascii="Times New Roman" w:hAnsi="Times New Roman"/>
          <w:color w:val="000000" w:themeColor="text1"/>
          <w:sz w:val="24"/>
          <w:szCs w:val="24"/>
          <w:lang w:val="en-US"/>
        </w:rPr>
        <w:t xml:space="preserve"> D, et al. 2016 ESC Guidelines for the management of atrial fibrillation developed in collaboration with EACTS.</w:t>
      </w:r>
    </w:p>
    <w:p w14:paraId="726AB1CA" w14:textId="77777777" w:rsidR="0005338E" w:rsidRPr="00AD53C7" w:rsidRDefault="00273B45" w:rsidP="0005338E">
      <w:pPr>
        <w:pStyle w:val="a3"/>
        <w:numPr>
          <w:ilvl w:val="0"/>
          <w:numId w:val="2"/>
        </w:numPr>
        <w:shd w:val="clear" w:color="auto" w:fill="FFFFFF"/>
        <w:spacing w:after="0" w:line="480" w:lineRule="auto"/>
        <w:ind w:left="284"/>
        <w:jc w:val="both"/>
        <w:textAlignment w:val="baseline"/>
        <w:rPr>
          <w:rFonts w:ascii="Times New Roman" w:hAnsi="Times New Roman"/>
          <w:bCs/>
          <w:color w:val="000000" w:themeColor="text1"/>
          <w:sz w:val="24"/>
          <w:szCs w:val="24"/>
          <w:lang w:val="en-US"/>
        </w:rPr>
      </w:pPr>
      <w:hyperlink r:id="rId8" w:history="1">
        <w:r w:rsidR="0005338E" w:rsidRPr="00AD53C7">
          <w:rPr>
            <w:rFonts w:ascii="Times New Roman" w:hAnsi="Times New Roman"/>
            <w:color w:val="000000" w:themeColor="text1"/>
            <w:sz w:val="24"/>
            <w:szCs w:val="24"/>
            <w:lang w:val="en-US"/>
          </w:rPr>
          <w:t>Healey J</w:t>
        </w:r>
      </w:hyperlink>
      <w:r w:rsidR="0005338E" w:rsidRPr="00AD53C7">
        <w:rPr>
          <w:rFonts w:ascii="Times New Roman" w:hAnsi="Times New Roman"/>
          <w:color w:val="000000" w:themeColor="text1"/>
          <w:sz w:val="24"/>
          <w:szCs w:val="24"/>
          <w:lang w:val="en-US"/>
        </w:rPr>
        <w:t>, </w:t>
      </w:r>
      <w:hyperlink r:id="rId9" w:history="1">
        <w:r w:rsidR="0005338E" w:rsidRPr="00AD53C7">
          <w:rPr>
            <w:rFonts w:ascii="Times New Roman" w:hAnsi="Times New Roman"/>
            <w:color w:val="000000" w:themeColor="text1"/>
            <w:sz w:val="24"/>
            <w:szCs w:val="24"/>
            <w:lang w:val="en-US"/>
          </w:rPr>
          <w:t>Connolly S</w:t>
        </w:r>
      </w:hyperlink>
      <w:r w:rsidR="0005338E" w:rsidRPr="00AD53C7">
        <w:rPr>
          <w:rFonts w:ascii="Times New Roman" w:hAnsi="Times New Roman"/>
          <w:color w:val="000000" w:themeColor="text1"/>
          <w:sz w:val="24"/>
          <w:szCs w:val="24"/>
          <w:lang w:val="en-US"/>
        </w:rPr>
        <w:t>, </w:t>
      </w:r>
      <w:hyperlink r:id="rId10" w:history="1">
        <w:r w:rsidR="0005338E" w:rsidRPr="00AD53C7">
          <w:rPr>
            <w:rFonts w:ascii="Times New Roman" w:hAnsi="Times New Roman"/>
            <w:color w:val="000000" w:themeColor="text1"/>
            <w:sz w:val="24"/>
            <w:szCs w:val="24"/>
            <w:lang w:val="en-US"/>
          </w:rPr>
          <w:t>Gold M</w:t>
        </w:r>
      </w:hyperlink>
      <w:r w:rsidR="0005338E" w:rsidRPr="00AD53C7">
        <w:rPr>
          <w:rFonts w:ascii="Times New Roman" w:hAnsi="Times New Roman"/>
          <w:color w:val="000000" w:themeColor="text1"/>
          <w:sz w:val="24"/>
          <w:szCs w:val="24"/>
          <w:lang w:val="en-US"/>
        </w:rPr>
        <w:t xml:space="preserve">, et al. </w:t>
      </w:r>
      <w:r w:rsidR="0005338E" w:rsidRPr="00AD53C7">
        <w:rPr>
          <w:rFonts w:ascii="Times New Roman" w:hAnsi="Times New Roman"/>
          <w:bCs/>
          <w:color w:val="000000" w:themeColor="text1"/>
          <w:kern w:val="36"/>
          <w:sz w:val="24"/>
          <w:szCs w:val="24"/>
          <w:lang w:val="en-US"/>
        </w:rPr>
        <w:t xml:space="preserve">Subclinical atrial fibrillation and the risk of stroke. </w:t>
      </w:r>
      <w:hyperlink r:id="rId11" w:tooltip="The New England journal of medicine." w:history="1">
        <w:r w:rsidR="0005338E" w:rsidRPr="00AD53C7">
          <w:rPr>
            <w:rFonts w:ascii="Times New Roman" w:hAnsi="Times New Roman"/>
            <w:color w:val="000000" w:themeColor="text1"/>
            <w:sz w:val="24"/>
            <w:szCs w:val="24"/>
            <w:lang w:val="en-US"/>
          </w:rPr>
          <w:t xml:space="preserve">N </w:t>
        </w:r>
        <w:proofErr w:type="spellStart"/>
        <w:r w:rsidR="0005338E" w:rsidRPr="00AD53C7">
          <w:rPr>
            <w:rFonts w:ascii="Times New Roman" w:hAnsi="Times New Roman"/>
            <w:color w:val="000000" w:themeColor="text1"/>
            <w:sz w:val="24"/>
            <w:szCs w:val="24"/>
            <w:lang w:val="en-US"/>
          </w:rPr>
          <w:t>Engl</w:t>
        </w:r>
        <w:proofErr w:type="spellEnd"/>
        <w:r w:rsidR="0005338E" w:rsidRPr="00AD53C7">
          <w:rPr>
            <w:rFonts w:ascii="Times New Roman" w:hAnsi="Times New Roman"/>
            <w:color w:val="000000" w:themeColor="text1"/>
            <w:sz w:val="24"/>
            <w:szCs w:val="24"/>
            <w:lang w:val="en-US"/>
          </w:rPr>
          <w:t xml:space="preserve"> J Med.</w:t>
        </w:r>
      </w:hyperlink>
      <w:r w:rsidR="0005338E" w:rsidRPr="00AD53C7">
        <w:rPr>
          <w:rFonts w:ascii="Times New Roman" w:hAnsi="Times New Roman"/>
          <w:color w:val="000000" w:themeColor="text1"/>
          <w:sz w:val="24"/>
          <w:szCs w:val="24"/>
          <w:lang w:val="en-US"/>
        </w:rPr>
        <w:t> 2012</w:t>
      </w:r>
      <w:proofErr w:type="gramStart"/>
      <w:r w:rsidR="0005338E" w:rsidRPr="00AD53C7">
        <w:rPr>
          <w:rFonts w:ascii="Times New Roman" w:hAnsi="Times New Roman"/>
          <w:color w:val="000000" w:themeColor="text1"/>
          <w:sz w:val="24"/>
          <w:szCs w:val="24"/>
          <w:lang w:val="en-US"/>
        </w:rPr>
        <w:t>;366</w:t>
      </w:r>
      <w:proofErr w:type="gramEnd"/>
      <w:r w:rsidR="0005338E" w:rsidRPr="00AD53C7">
        <w:rPr>
          <w:rFonts w:ascii="Times New Roman" w:hAnsi="Times New Roman"/>
          <w:color w:val="000000" w:themeColor="text1"/>
          <w:sz w:val="24"/>
          <w:szCs w:val="24"/>
          <w:lang w:val="en-US"/>
        </w:rPr>
        <w:t>(2):120-9.</w:t>
      </w:r>
    </w:p>
    <w:p w14:paraId="02337A9D" w14:textId="77777777" w:rsidR="0005338E" w:rsidRPr="00AD53C7" w:rsidRDefault="00273B45" w:rsidP="0005338E">
      <w:pPr>
        <w:pStyle w:val="a3"/>
        <w:numPr>
          <w:ilvl w:val="0"/>
          <w:numId w:val="2"/>
        </w:numPr>
        <w:shd w:val="clear" w:color="auto" w:fill="FFFFFF"/>
        <w:spacing w:after="0" w:line="480" w:lineRule="auto"/>
        <w:ind w:left="284"/>
        <w:jc w:val="both"/>
        <w:textAlignment w:val="baseline"/>
        <w:rPr>
          <w:rFonts w:ascii="Times New Roman" w:hAnsi="Times New Roman"/>
          <w:bCs/>
          <w:color w:val="000000" w:themeColor="text1"/>
          <w:sz w:val="24"/>
          <w:szCs w:val="24"/>
          <w:lang w:val="en-US"/>
        </w:rPr>
      </w:pPr>
      <w:hyperlink r:id="rId12" w:history="1">
        <w:proofErr w:type="spellStart"/>
        <w:r w:rsidR="0005338E" w:rsidRPr="00AD53C7">
          <w:rPr>
            <w:rStyle w:val="a4"/>
            <w:rFonts w:ascii="Times New Roman" w:hAnsi="Times New Roman"/>
            <w:color w:val="000000" w:themeColor="text1"/>
            <w:sz w:val="24"/>
            <w:szCs w:val="24"/>
            <w:u w:val="none"/>
            <w:lang w:val="en-US"/>
          </w:rPr>
          <w:t>Glotzer</w:t>
        </w:r>
        <w:proofErr w:type="spellEnd"/>
        <w:r w:rsidR="0005338E" w:rsidRPr="00AD53C7">
          <w:rPr>
            <w:rStyle w:val="a4"/>
            <w:rFonts w:ascii="Times New Roman" w:hAnsi="Times New Roman"/>
            <w:color w:val="000000" w:themeColor="text1"/>
            <w:sz w:val="24"/>
            <w:szCs w:val="24"/>
            <w:u w:val="none"/>
            <w:lang w:val="en-US"/>
          </w:rPr>
          <w:t xml:space="preserve"> T</w:t>
        </w:r>
      </w:hyperlink>
      <w:r w:rsidR="0005338E" w:rsidRPr="00AD53C7">
        <w:rPr>
          <w:rFonts w:ascii="Times New Roman" w:hAnsi="Times New Roman"/>
          <w:color w:val="000000" w:themeColor="text1"/>
          <w:sz w:val="24"/>
          <w:szCs w:val="24"/>
          <w:lang w:val="en-US"/>
        </w:rPr>
        <w:t>,</w:t>
      </w:r>
      <w:r w:rsidR="0005338E" w:rsidRPr="00AD53C7">
        <w:rPr>
          <w:rStyle w:val="apple-converted-space"/>
          <w:rFonts w:ascii="Times New Roman" w:hAnsi="Times New Roman"/>
          <w:color w:val="000000" w:themeColor="text1"/>
          <w:sz w:val="24"/>
          <w:szCs w:val="24"/>
          <w:lang w:val="en-US"/>
        </w:rPr>
        <w:t> </w:t>
      </w:r>
      <w:hyperlink r:id="rId13" w:history="1">
        <w:proofErr w:type="spellStart"/>
        <w:r w:rsidR="0005338E" w:rsidRPr="00AD53C7">
          <w:rPr>
            <w:rStyle w:val="a4"/>
            <w:rFonts w:ascii="Times New Roman" w:hAnsi="Times New Roman"/>
            <w:color w:val="000000" w:themeColor="text1"/>
            <w:sz w:val="24"/>
            <w:szCs w:val="24"/>
            <w:u w:val="none"/>
            <w:lang w:val="en-US"/>
          </w:rPr>
          <w:t>Daoud</w:t>
        </w:r>
        <w:proofErr w:type="spellEnd"/>
        <w:r w:rsidR="0005338E" w:rsidRPr="00AD53C7">
          <w:rPr>
            <w:rStyle w:val="a4"/>
            <w:rFonts w:ascii="Times New Roman" w:hAnsi="Times New Roman"/>
            <w:color w:val="000000" w:themeColor="text1"/>
            <w:sz w:val="24"/>
            <w:szCs w:val="24"/>
            <w:u w:val="none"/>
            <w:lang w:val="en-US"/>
          </w:rPr>
          <w:t xml:space="preserve"> E</w:t>
        </w:r>
      </w:hyperlink>
      <w:r w:rsidR="0005338E" w:rsidRPr="00AD53C7">
        <w:rPr>
          <w:rFonts w:ascii="Times New Roman" w:hAnsi="Times New Roman"/>
          <w:color w:val="000000" w:themeColor="text1"/>
          <w:sz w:val="24"/>
          <w:szCs w:val="24"/>
          <w:lang w:val="en-US"/>
        </w:rPr>
        <w:t>,</w:t>
      </w:r>
      <w:r w:rsidR="0005338E" w:rsidRPr="00AD53C7">
        <w:rPr>
          <w:rStyle w:val="apple-converted-space"/>
          <w:rFonts w:ascii="Times New Roman" w:hAnsi="Times New Roman"/>
          <w:color w:val="000000" w:themeColor="text1"/>
          <w:sz w:val="24"/>
          <w:szCs w:val="24"/>
          <w:lang w:val="en-US"/>
        </w:rPr>
        <w:t> </w:t>
      </w:r>
      <w:hyperlink r:id="rId14" w:history="1">
        <w:r w:rsidR="0005338E" w:rsidRPr="00AD53C7">
          <w:rPr>
            <w:rStyle w:val="a4"/>
            <w:rFonts w:ascii="Times New Roman" w:hAnsi="Times New Roman"/>
            <w:color w:val="000000" w:themeColor="text1"/>
            <w:sz w:val="24"/>
            <w:szCs w:val="24"/>
            <w:u w:val="none"/>
            <w:lang w:val="en-US"/>
          </w:rPr>
          <w:t>Wyse D</w:t>
        </w:r>
      </w:hyperlink>
      <w:r w:rsidR="0005338E" w:rsidRPr="00AD53C7">
        <w:rPr>
          <w:rFonts w:ascii="Times New Roman" w:hAnsi="Times New Roman"/>
          <w:color w:val="000000" w:themeColor="text1"/>
          <w:sz w:val="24"/>
          <w:szCs w:val="24"/>
          <w:lang w:val="en-US"/>
        </w:rPr>
        <w:t xml:space="preserve">, et.al. The relationship between daily atrial tachyarrhythmia burden from implantable device diagnostics and stroke risk: the TRENDS study. </w:t>
      </w:r>
      <w:hyperlink r:id="rId15" w:tooltip="Circulation. Arrhythmia and electrophysiology." w:history="1">
        <w:proofErr w:type="spellStart"/>
        <w:r w:rsidR="0005338E" w:rsidRPr="00AD53C7">
          <w:rPr>
            <w:rStyle w:val="a4"/>
            <w:rFonts w:ascii="Times New Roman" w:hAnsi="Times New Roman"/>
            <w:color w:val="000000" w:themeColor="text1"/>
            <w:sz w:val="24"/>
            <w:szCs w:val="24"/>
            <w:u w:val="none"/>
            <w:lang w:val="en-US"/>
          </w:rPr>
          <w:t>Circ</w:t>
        </w:r>
        <w:proofErr w:type="spellEnd"/>
        <w:r w:rsidR="0005338E" w:rsidRPr="00AD53C7">
          <w:rPr>
            <w:rStyle w:val="a4"/>
            <w:rFonts w:ascii="Times New Roman" w:hAnsi="Times New Roman"/>
            <w:color w:val="000000" w:themeColor="text1"/>
            <w:sz w:val="24"/>
            <w:szCs w:val="24"/>
            <w:u w:val="none"/>
            <w:lang w:val="en-US"/>
          </w:rPr>
          <w:t xml:space="preserve"> </w:t>
        </w:r>
        <w:proofErr w:type="spellStart"/>
        <w:r w:rsidR="0005338E" w:rsidRPr="00AD53C7">
          <w:rPr>
            <w:rStyle w:val="a4"/>
            <w:rFonts w:ascii="Times New Roman" w:hAnsi="Times New Roman"/>
            <w:color w:val="000000" w:themeColor="text1"/>
            <w:sz w:val="24"/>
            <w:szCs w:val="24"/>
            <w:u w:val="none"/>
            <w:lang w:val="en-US"/>
          </w:rPr>
          <w:t>Arrhythm</w:t>
        </w:r>
        <w:proofErr w:type="spellEnd"/>
        <w:r w:rsidR="0005338E" w:rsidRPr="00AD53C7">
          <w:rPr>
            <w:rStyle w:val="a4"/>
            <w:rFonts w:ascii="Times New Roman" w:hAnsi="Times New Roman"/>
            <w:color w:val="000000" w:themeColor="text1"/>
            <w:sz w:val="24"/>
            <w:szCs w:val="24"/>
            <w:u w:val="none"/>
            <w:lang w:val="en-US"/>
          </w:rPr>
          <w:t xml:space="preserve"> </w:t>
        </w:r>
        <w:proofErr w:type="spellStart"/>
        <w:r w:rsidR="0005338E" w:rsidRPr="00AD53C7">
          <w:rPr>
            <w:rStyle w:val="a4"/>
            <w:rFonts w:ascii="Times New Roman" w:hAnsi="Times New Roman"/>
            <w:color w:val="000000" w:themeColor="text1"/>
            <w:sz w:val="24"/>
            <w:szCs w:val="24"/>
            <w:u w:val="none"/>
            <w:lang w:val="en-US"/>
          </w:rPr>
          <w:t>Electrophysiol</w:t>
        </w:r>
        <w:proofErr w:type="spellEnd"/>
        <w:r w:rsidR="0005338E" w:rsidRPr="00AD53C7">
          <w:rPr>
            <w:rStyle w:val="a4"/>
            <w:rFonts w:ascii="Times New Roman" w:hAnsi="Times New Roman"/>
            <w:color w:val="000000" w:themeColor="text1"/>
            <w:sz w:val="24"/>
            <w:szCs w:val="24"/>
            <w:u w:val="none"/>
            <w:lang w:val="en-US"/>
          </w:rPr>
          <w:t>.</w:t>
        </w:r>
      </w:hyperlink>
      <w:r w:rsidR="0005338E" w:rsidRPr="00AD53C7">
        <w:rPr>
          <w:rStyle w:val="apple-converted-space"/>
          <w:rFonts w:ascii="Times New Roman" w:hAnsi="Times New Roman"/>
          <w:color w:val="000000" w:themeColor="text1"/>
          <w:sz w:val="24"/>
          <w:szCs w:val="24"/>
          <w:lang w:val="en-US"/>
        </w:rPr>
        <w:t> </w:t>
      </w:r>
      <w:r w:rsidR="0005338E" w:rsidRPr="00AD53C7">
        <w:rPr>
          <w:rFonts w:ascii="Times New Roman" w:hAnsi="Times New Roman"/>
          <w:color w:val="000000" w:themeColor="text1"/>
          <w:sz w:val="24"/>
          <w:szCs w:val="24"/>
          <w:lang w:val="en-US"/>
        </w:rPr>
        <w:t>2009; 2(5)</w:t>
      </w:r>
      <w:proofErr w:type="gramStart"/>
      <w:r w:rsidR="0005338E" w:rsidRPr="00AD53C7">
        <w:rPr>
          <w:rFonts w:ascii="Times New Roman" w:hAnsi="Times New Roman"/>
          <w:color w:val="000000" w:themeColor="text1"/>
          <w:sz w:val="24"/>
          <w:szCs w:val="24"/>
          <w:lang w:val="en-US"/>
        </w:rPr>
        <w:t>:474</w:t>
      </w:r>
      <w:proofErr w:type="gramEnd"/>
      <w:r w:rsidR="0005338E" w:rsidRPr="00AD53C7">
        <w:rPr>
          <w:rFonts w:ascii="Times New Roman" w:hAnsi="Times New Roman"/>
          <w:color w:val="000000" w:themeColor="text1"/>
          <w:sz w:val="24"/>
          <w:szCs w:val="24"/>
          <w:lang w:val="en-US"/>
        </w:rPr>
        <w:t>-80.</w:t>
      </w:r>
    </w:p>
    <w:p w14:paraId="0BF37FA0" w14:textId="77777777" w:rsidR="0005338E" w:rsidRPr="00AD53C7" w:rsidRDefault="00273B45" w:rsidP="0005338E">
      <w:pPr>
        <w:pStyle w:val="a3"/>
        <w:numPr>
          <w:ilvl w:val="0"/>
          <w:numId w:val="2"/>
        </w:numPr>
        <w:shd w:val="clear" w:color="auto" w:fill="FFFFFF"/>
        <w:spacing w:after="0" w:line="480" w:lineRule="auto"/>
        <w:ind w:left="284"/>
        <w:jc w:val="both"/>
        <w:textAlignment w:val="baseline"/>
        <w:rPr>
          <w:rFonts w:ascii="Times New Roman" w:hAnsi="Times New Roman"/>
          <w:bCs/>
          <w:color w:val="000000" w:themeColor="text1"/>
          <w:sz w:val="24"/>
          <w:szCs w:val="24"/>
          <w:lang w:val="en-US"/>
        </w:rPr>
      </w:pPr>
      <w:hyperlink r:id="rId16" w:history="1">
        <w:r w:rsidR="0005338E" w:rsidRPr="00AD53C7">
          <w:rPr>
            <w:rStyle w:val="a4"/>
            <w:rFonts w:ascii="Times New Roman" w:hAnsi="Times New Roman"/>
            <w:color w:val="000000" w:themeColor="text1"/>
            <w:sz w:val="24"/>
            <w:szCs w:val="24"/>
            <w:u w:val="none"/>
            <w:lang w:val="en-US"/>
          </w:rPr>
          <w:t>Mittal S</w:t>
        </w:r>
      </w:hyperlink>
      <w:r w:rsidR="0005338E" w:rsidRPr="00AD53C7">
        <w:rPr>
          <w:rFonts w:ascii="Times New Roman" w:hAnsi="Times New Roman"/>
          <w:color w:val="000000" w:themeColor="text1"/>
          <w:sz w:val="24"/>
          <w:szCs w:val="24"/>
          <w:lang w:val="en-US"/>
        </w:rPr>
        <w:t>,</w:t>
      </w:r>
      <w:r w:rsidR="0005338E" w:rsidRPr="00AD53C7">
        <w:rPr>
          <w:rStyle w:val="apple-converted-space"/>
          <w:rFonts w:ascii="Times New Roman" w:hAnsi="Times New Roman"/>
          <w:color w:val="000000" w:themeColor="text1"/>
          <w:sz w:val="24"/>
          <w:szCs w:val="24"/>
          <w:lang w:val="en-US"/>
        </w:rPr>
        <w:t> </w:t>
      </w:r>
      <w:hyperlink r:id="rId17" w:history="1">
        <w:r w:rsidR="0005338E" w:rsidRPr="00AD53C7">
          <w:rPr>
            <w:rStyle w:val="a4"/>
            <w:rFonts w:ascii="Times New Roman" w:hAnsi="Times New Roman"/>
            <w:color w:val="000000" w:themeColor="text1"/>
            <w:sz w:val="24"/>
            <w:szCs w:val="24"/>
            <w:u w:val="none"/>
            <w:lang w:val="en-US"/>
          </w:rPr>
          <w:t>Stein K</w:t>
        </w:r>
      </w:hyperlink>
      <w:r w:rsidR="0005338E" w:rsidRPr="00AD53C7">
        <w:rPr>
          <w:rFonts w:ascii="Times New Roman" w:hAnsi="Times New Roman"/>
          <w:color w:val="000000" w:themeColor="text1"/>
          <w:sz w:val="24"/>
          <w:szCs w:val="24"/>
          <w:lang w:val="en-US"/>
        </w:rPr>
        <w:t>,</w:t>
      </w:r>
      <w:r w:rsidR="0005338E" w:rsidRPr="00AD53C7">
        <w:rPr>
          <w:rStyle w:val="apple-converted-space"/>
          <w:rFonts w:ascii="Times New Roman" w:hAnsi="Times New Roman"/>
          <w:color w:val="000000" w:themeColor="text1"/>
          <w:sz w:val="24"/>
          <w:szCs w:val="24"/>
          <w:lang w:val="en-US"/>
        </w:rPr>
        <w:t> </w:t>
      </w:r>
      <w:hyperlink r:id="rId18" w:history="1">
        <w:r w:rsidR="0005338E" w:rsidRPr="00AD53C7">
          <w:rPr>
            <w:rStyle w:val="a4"/>
            <w:rFonts w:ascii="Times New Roman" w:hAnsi="Times New Roman"/>
            <w:color w:val="000000" w:themeColor="text1"/>
            <w:sz w:val="24"/>
            <w:szCs w:val="24"/>
            <w:u w:val="none"/>
            <w:lang w:val="en-US"/>
          </w:rPr>
          <w:t>Gilliam FR 3rd</w:t>
        </w:r>
      </w:hyperlink>
      <w:r w:rsidR="0005338E" w:rsidRPr="00AD53C7">
        <w:rPr>
          <w:rFonts w:ascii="Times New Roman" w:hAnsi="Times New Roman"/>
          <w:color w:val="000000" w:themeColor="text1"/>
          <w:sz w:val="24"/>
          <w:szCs w:val="24"/>
          <w:lang w:val="en-US"/>
        </w:rPr>
        <w:t xml:space="preserve">, et al. Frequency, duration, and predictors of </w:t>
      </w:r>
      <w:proofErr w:type="gramStart"/>
      <w:r w:rsidR="0005338E" w:rsidRPr="00AD53C7">
        <w:rPr>
          <w:rFonts w:ascii="Times New Roman" w:hAnsi="Times New Roman"/>
          <w:color w:val="000000" w:themeColor="text1"/>
          <w:sz w:val="24"/>
          <w:szCs w:val="24"/>
          <w:lang w:val="en-US"/>
        </w:rPr>
        <w:t>newly-diagnosed</w:t>
      </w:r>
      <w:proofErr w:type="gramEnd"/>
      <w:r w:rsidR="0005338E" w:rsidRPr="00AD53C7">
        <w:rPr>
          <w:rFonts w:ascii="Times New Roman" w:hAnsi="Times New Roman"/>
          <w:color w:val="000000" w:themeColor="text1"/>
          <w:sz w:val="24"/>
          <w:szCs w:val="24"/>
          <w:lang w:val="en-US"/>
        </w:rPr>
        <w:t xml:space="preserve"> atrial fibrillation following dual-chamber pacemaker implantation in patients without a previous history of atrial fibrillation. </w:t>
      </w:r>
      <w:hyperlink r:id="rId19" w:tooltip="The American journal of cardiology." w:history="1">
        <w:r w:rsidR="0005338E" w:rsidRPr="00AD53C7">
          <w:rPr>
            <w:rStyle w:val="a4"/>
            <w:rFonts w:ascii="Times New Roman" w:hAnsi="Times New Roman"/>
            <w:color w:val="000000" w:themeColor="text1"/>
            <w:sz w:val="24"/>
            <w:szCs w:val="24"/>
            <w:u w:val="none"/>
            <w:lang w:val="en-US"/>
          </w:rPr>
          <w:t xml:space="preserve">Am J </w:t>
        </w:r>
        <w:proofErr w:type="spellStart"/>
        <w:proofErr w:type="gramStart"/>
        <w:r w:rsidR="0005338E" w:rsidRPr="00AD53C7">
          <w:rPr>
            <w:rStyle w:val="a4"/>
            <w:rFonts w:ascii="Times New Roman" w:hAnsi="Times New Roman"/>
            <w:color w:val="000000" w:themeColor="text1"/>
            <w:sz w:val="24"/>
            <w:szCs w:val="24"/>
            <w:u w:val="none"/>
            <w:lang w:val="en-US"/>
          </w:rPr>
          <w:t>Cardiol</w:t>
        </w:r>
        <w:proofErr w:type="spellEnd"/>
        <w:r w:rsidR="0005338E" w:rsidRPr="00AD53C7">
          <w:rPr>
            <w:rStyle w:val="a4"/>
            <w:rFonts w:ascii="Times New Roman" w:hAnsi="Times New Roman"/>
            <w:color w:val="000000" w:themeColor="text1"/>
            <w:sz w:val="24"/>
            <w:szCs w:val="24"/>
            <w:u w:val="none"/>
            <w:lang w:val="en-US"/>
          </w:rPr>
          <w:t>.</w:t>
        </w:r>
        <w:proofErr w:type="gramEnd"/>
      </w:hyperlink>
      <w:r w:rsidR="0005338E" w:rsidRPr="00AD53C7">
        <w:rPr>
          <w:rStyle w:val="apple-converted-space"/>
          <w:rFonts w:ascii="Times New Roman" w:hAnsi="Times New Roman"/>
          <w:color w:val="000000" w:themeColor="text1"/>
          <w:sz w:val="24"/>
          <w:szCs w:val="24"/>
          <w:lang w:val="en-US"/>
        </w:rPr>
        <w:t> </w:t>
      </w:r>
      <w:r w:rsidR="0005338E" w:rsidRPr="00AD53C7">
        <w:rPr>
          <w:rFonts w:ascii="Times New Roman" w:hAnsi="Times New Roman"/>
          <w:color w:val="000000" w:themeColor="text1"/>
          <w:sz w:val="24"/>
          <w:szCs w:val="24"/>
          <w:lang w:val="en-US"/>
        </w:rPr>
        <w:t>2008</w:t>
      </w:r>
      <w:proofErr w:type="gramStart"/>
      <w:r w:rsidR="0005338E" w:rsidRPr="00AD53C7">
        <w:rPr>
          <w:rFonts w:ascii="Times New Roman" w:hAnsi="Times New Roman"/>
          <w:color w:val="000000" w:themeColor="text1"/>
          <w:sz w:val="24"/>
          <w:szCs w:val="24"/>
          <w:lang w:val="en-US"/>
        </w:rPr>
        <w:t>;102</w:t>
      </w:r>
      <w:proofErr w:type="gramEnd"/>
      <w:r w:rsidR="0005338E" w:rsidRPr="00AD53C7">
        <w:rPr>
          <w:rFonts w:ascii="Times New Roman" w:hAnsi="Times New Roman"/>
          <w:color w:val="000000" w:themeColor="text1"/>
          <w:sz w:val="24"/>
          <w:szCs w:val="24"/>
          <w:lang w:val="en-US"/>
        </w:rPr>
        <w:t>(4):450-3.</w:t>
      </w:r>
    </w:p>
    <w:p w14:paraId="1773E583" w14:textId="77777777" w:rsidR="0005338E" w:rsidRPr="00AD53C7" w:rsidRDefault="00273B45" w:rsidP="0005338E">
      <w:pPr>
        <w:pStyle w:val="a3"/>
        <w:numPr>
          <w:ilvl w:val="0"/>
          <w:numId w:val="2"/>
        </w:numPr>
        <w:shd w:val="clear" w:color="auto" w:fill="FFFFFF"/>
        <w:spacing w:after="0" w:line="480" w:lineRule="auto"/>
        <w:ind w:left="284"/>
        <w:jc w:val="both"/>
        <w:textAlignment w:val="baseline"/>
        <w:rPr>
          <w:rFonts w:ascii="Times New Roman" w:hAnsi="Times New Roman"/>
          <w:bCs/>
          <w:color w:val="000000" w:themeColor="text1"/>
          <w:sz w:val="24"/>
          <w:szCs w:val="24"/>
          <w:lang w:val="en-US"/>
        </w:rPr>
      </w:pPr>
      <w:hyperlink r:id="rId20" w:history="1">
        <w:proofErr w:type="spellStart"/>
        <w:r w:rsidR="0005338E" w:rsidRPr="00AD53C7">
          <w:rPr>
            <w:rStyle w:val="a4"/>
            <w:rFonts w:ascii="Times New Roman" w:hAnsi="Times New Roman"/>
            <w:color w:val="000000" w:themeColor="text1"/>
            <w:sz w:val="24"/>
            <w:szCs w:val="24"/>
            <w:u w:val="none"/>
            <w:lang w:val="en-US"/>
          </w:rPr>
          <w:t>Orlov</w:t>
        </w:r>
        <w:proofErr w:type="spellEnd"/>
        <w:r w:rsidR="0005338E" w:rsidRPr="00AD53C7">
          <w:rPr>
            <w:rStyle w:val="a4"/>
            <w:rFonts w:ascii="Times New Roman" w:hAnsi="Times New Roman"/>
            <w:color w:val="000000" w:themeColor="text1"/>
            <w:sz w:val="24"/>
            <w:szCs w:val="24"/>
            <w:u w:val="none"/>
            <w:lang w:val="en-US"/>
          </w:rPr>
          <w:t xml:space="preserve"> MV</w:t>
        </w:r>
      </w:hyperlink>
      <w:r w:rsidR="0005338E" w:rsidRPr="00AD53C7">
        <w:rPr>
          <w:rFonts w:ascii="Times New Roman" w:hAnsi="Times New Roman"/>
          <w:color w:val="000000" w:themeColor="text1"/>
          <w:sz w:val="24"/>
          <w:szCs w:val="24"/>
          <w:lang w:val="en-US"/>
        </w:rPr>
        <w:t>,</w:t>
      </w:r>
      <w:r w:rsidR="0005338E" w:rsidRPr="00AD53C7">
        <w:rPr>
          <w:rStyle w:val="apple-converted-space"/>
          <w:rFonts w:ascii="Times New Roman" w:hAnsi="Times New Roman"/>
          <w:color w:val="000000" w:themeColor="text1"/>
          <w:sz w:val="24"/>
          <w:szCs w:val="24"/>
          <w:lang w:val="en-US"/>
        </w:rPr>
        <w:t> </w:t>
      </w:r>
      <w:hyperlink r:id="rId21" w:history="1">
        <w:proofErr w:type="spellStart"/>
        <w:r w:rsidR="0005338E" w:rsidRPr="00AD53C7">
          <w:rPr>
            <w:rStyle w:val="a4"/>
            <w:rFonts w:ascii="Times New Roman" w:hAnsi="Times New Roman"/>
            <w:color w:val="000000" w:themeColor="text1"/>
            <w:sz w:val="24"/>
            <w:szCs w:val="24"/>
            <w:u w:val="none"/>
            <w:lang w:val="en-US"/>
          </w:rPr>
          <w:t>Ghali</w:t>
        </w:r>
        <w:proofErr w:type="spellEnd"/>
        <w:r w:rsidR="0005338E" w:rsidRPr="00AD53C7">
          <w:rPr>
            <w:rStyle w:val="a4"/>
            <w:rFonts w:ascii="Times New Roman" w:hAnsi="Times New Roman"/>
            <w:color w:val="000000" w:themeColor="text1"/>
            <w:sz w:val="24"/>
            <w:szCs w:val="24"/>
            <w:u w:val="none"/>
            <w:lang w:val="en-US"/>
          </w:rPr>
          <w:t xml:space="preserve"> JK</w:t>
        </w:r>
      </w:hyperlink>
      <w:r w:rsidR="0005338E" w:rsidRPr="00AD53C7">
        <w:rPr>
          <w:rFonts w:ascii="Times New Roman" w:hAnsi="Times New Roman"/>
          <w:color w:val="000000" w:themeColor="text1"/>
          <w:sz w:val="24"/>
          <w:szCs w:val="24"/>
          <w:lang w:val="en-US"/>
        </w:rPr>
        <w:t>,</w:t>
      </w:r>
      <w:r w:rsidR="0005338E" w:rsidRPr="00AD53C7">
        <w:rPr>
          <w:rStyle w:val="apple-converted-space"/>
          <w:rFonts w:ascii="Times New Roman" w:hAnsi="Times New Roman"/>
          <w:color w:val="000000" w:themeColor="text1"/>
          <w:sz w:val="24"/>
          <w:szCs w:val="24"/>
          <w:lang w:val="en-US"/>
        </w:rPr>
        <w:t> </w:t>
      </w:r>
      <w:hyperlink r:id="rId22" w:history="1">
        <w:proofErr w:type="spellStart"/>
        <w:r w:rsidR="0005338E" w:rsidRPr="00AD53C7">
          <w:rPr>
            <w:rStyle w:val="a4"/>
            <w:rFonts w:ascii="Times New Roman" w:hAnsi="Times New Roman"/>
            <w:color w:val="000000" w:themeColor="text1"/>
            <w:sz w:val="24"/>
            <w:szCs w:val="24"/>
            <w:u w:val="none"/>
            <w:lang w:val="en-US"/>
          </w:rPr>
          <w:t>Araghi-Niknam</w:t>
        </w:r>
        <w:proofErr w:type="spellEnd"/>
        <w:r w:rsidR="0005338E" w:rsidRPr="00AD53C7">
          <w:rPr>
            <w:rStyle w:val="a4"/>
            <w:rFonts w:ascii="Times New Roman" w:hAnsi="Times New Roman"/>
            <w:color w:val="000000" w:themeColor="text1"/>
            <w:sz w:val="24"/>
            <w:szCs w:val="24"/>
            <w:u w:val="none"/>
            <w:lang w:val="en-US"/>
          </w:rPr>
          <w:t xml:space="preserve"> M</w:t>
        </w:r>
      </w:hyperlink>
      <w:r w:rsidR="0005338E" w:rsidRPr="00AD53C7">
        <w:rPr>
          <w:rFonts w:ascii="Times New Roman" w:hAnsi="Times New Roman"/>
          <w:color w:val="000000" w:themeColor="text1"/>
          <w:sz w:val="24"/>
          <w:szCs w:val="24"/>
          <w:lang w:val="en-US"/>
        </w:rPr>
        <w:t xml:space="preserve">, et al. Asymptomatic atrial fibrillation in pacemaker recipients: incidence, progression, and determinants based on the atrial high rate trial. </w:t>
      </w:r>
      <w:hyperlink r:id="rId23" w:tooltip="Pacing and clinical electrophysiology : PACE." w:history="1">
        <w:r w:rsidR="0005338E" w:rsidRPr="00AD53C7">
          <w:rPr>
            <w:rStyle w:val="a4"/>
            <w:rFonts w:ascii="Times New Roman" w:hAnsi="Times New Roman"/>
            <w:color w:val="000000" w:themeColor="text1"/>
            <w:sz w:val="24"/>
            <w:szCs w:val="24"/>
            <w:u w:val="none"/>
            <w:lang w:val="en-US"/>
          </w:rPr>
          <w:t xml:space="preserve">Pacing </w:t>
        </w:r>
        <w:proofErr w:type="spellStart"/>
        <w:r w:rsidR="0005338E" w:rsidRPr="00AD53C7">
          <w:rPr>
            <w:rStyle w:val="a4"/>
            <w:rFonts w:ascii="Times New Roman" w:hAnsi="Times New Roman"/>
            <w:color w:val="000000" w:themeColor="text1"/>
            <w:sz w:val="24"/>
            <w:szCs w:val="24"/>
            <w:u w:val="none"/>
            <w:lang w:val="en-US"/>
          </w:rPr>
          <w:t>Clin</w:t>
        </w:r>
        <w:proofErr w:type="spellEnd"/>
        <w:r w:rsidR="0005338E" w:rsidRPr="00AD53C7">
          <w:rPr>
            <w:rStyle w:val="a4"/>
            <w:rFonts w:ascii="Times New Roman" w:hAnsi="Times New Roman"/>
            <w:color w:val="000000" w:themeColor="text1"/>
            <w:sz w:val="24"/>
            <w:szCs w:val="24"/>
            <w:u w:val="none"/>
            <w:lang w:val="en-US"/>
          </w:rPr>
          <w:t xml:space="preserve"> </w:t>
        </w:r>
        <w:proofErr w:type="spellStart"/>
        <w:r w:rsidR="0005338E" w:rsidRPr="00AD53C7">
          <w:rPr>
            <w:rStyle w:val="a4"/>
            <w:rFonts w:ascii="Times New Roman" w:hAnsi="Times New Roman"/>
            <w:color w:val="000000" w:themeColor="text1"/>
            <w:sz w:val="24"/>
            <w:szCs w:val="24"/>
            <w:u w:val="none"/>
            <w:lang w:val="en-US"/>
          </w:rPr>
          <w:t>Electrophysiol</w:t>
        </w:r>
        <w:proofErr w:type="spellEnd"/>
        <w:r w:rsidR="0005338E" w:rsidRPr="00AD53C7">
          <w:rPr>
            <w:rStyle w:val="a4"/>
            <w:rFonts w:ascii="Times New Roman" w:hAnsi="Times New Roman"/>
            <w:color w:val="000000" w:themeColor="text1"/>
            <w:sz w:val="24"/>
            <w:szCs w:val="24"/>
            <w:u w:val="none"/>
            <w:lang w:val="en-US"/>
          </w:rPr>
          <w:t>.</w:t>
        </w:r>
      </w:hyperlink>
      <w:r w:rsidR="0005338E" w:rsidRPr="00AD53C7">
        <w:rPr>
          <w:rStyle w:val="apple-converted-space"/>
          <w:rFonts w:ascii="Times New Roman" w:hAnsi="Times New Roman"/>
          <w:color w:val="000000" w:themeColor="text1"/>
          <w:sz w:val="24"/>
          <w:szCs w:val="24"/>
          <w:lang w:val="en-US"/>
        </w:rPr>
        <w:t> </w:t>
      </w:r>
      <w:r w:rsidR="0005338E" w:rsidRPr="00AD53C7">
        <w:rPr>
          <w:rFonts w:ascii="Times New Roman" w:hAnsi="Times New Roman"/>
          <w:color w:val="000000" w:themeColor="text1"/>
          <w:sz w:val="24"/>
          <w:szCs w:val="24"/>
          <w:lang w:val="en-US"/>
        </w:rPr>
        <w:t>2007</w:t>
      </w:r>
      <w:proofErr w:type="gramStart"/>
      <w:r w:rsidR="0005338E" w:rsidRPr="00AD53C7">
        <w:rPr>
          <w:rFonts w:ascii="Times New Roman" w:hAnsi="Times New Roman"/>
          <w:color w:val="000000" w:themeColor="text1"/>
          <w:sz w:val="24"/>
          <w:szCs w:val="24"/>
          <w:lang w:val="en-US"/>
        </w:rPr>
        <w:t>;30</w:t>
      </w:r>
      <w:proofErr w:type="gramEnd"/>
      <w:r w:rsidR="0005338E" w:rsidRPr="00AD53C7">
        <w:rPr>
          <w:rFonts w:ascii="Times New Roman" w:hAnsi="Times New Roman"/>
          <w:color w:val="000000" w:themeColor="text1"/>
          <w:sz w:val="24"/>
          <w:szCs w:val="24"/>
          <w:lang w:val="en-US"/>
        </w:rPr>
        <w:t>(3):404-11.</w:t>
      </w:r>
    </w:p>
    <w:p w14:paraId="54388887" w14:textId="77777777" w:rsidR="0005338E" w:rsidRPr="00AD53C7" w:rsidRDefault="0005338E" w:rsidP="0005338E">
      <w:pPr>
        <w:pStyle w:val="a3"/>
        <w:numPr>
          <w:ilvl w:val="0"/>
          <w:numId w:val="2"/>
        </w:numPr>
        <w:shd w:val="clear" w:color="auto" w:fill="FFFFFF"/>
        <w:spacing w:after="0" w:line="480" w:lineRule="auto"/>
        <w:ind w:left="284"/>
        <w:jc w:val="both"/>
        <w:textAlignment w:val="baseline"/>
        <w:rPr>
          <w:rFonts w:ascii="Times New Roman" w:hAnsi="Times New Roman"/>
          <w:bCs/>
          <w:color w:val="000000" w:themeColor="text1"/>
          <w:sz w:val="24"/>
          <w:szCs w:val="24"/>
          <w:lang w:val="en-US"/>
        </w:rPr>
      </w:pPr>
      <w:proofErr w:type="spellStart"/>
      <w:r w:rsidRPr="00AD53C7">
        <w:rPr>
          <w:rFonts w:ascii="Times New Roman" w:hAnsi="Times New Roman"/>
          <w:color w:val="000000" w:themeColor="text1"/>
          <w:sz w:val="24"/>
          <w:szCs w:val="24"/>
          <w:lang w:val="en-US"/>
        </w:rPr>
        <w:t>Kamel</w:t>
      </w:r>
      <w:proofErr w:type="spellEnd"/>
      <w:r w:rsidRPr="00AD53C7">
        <w:rPr>
          <w:rFonts w:ascii="Times New Roman" w:hAnsi="Times New Roman"/>
          <w:color w:val="000000" w:themeColor="text1"/>
          <w:sz w:val="24"/>
          <w:szCs w:val="24"/>
          <w:lang w:val="en-US"/>
        </w:rPr>
        <w:t xml:space="preserve"> H, </w:t>
      </w:r>
      <w:proofErr w:type="spellStart"/>
      <w:r w:rsidRPr="00AD53C7">
        <w:rPr>
          <w:rFonts w:ascii="Times New Roman" w:hAnsi="Times New Roman"/>
          <w:color w:val="000000" w:themeColor="text1"/>
          <w:sz w:val="24"/>
          <w:szCs w:val="24"/>
          <w:lang w:val="en-US"/>
        </w:rPr>
        <w:t>Okin</w:t>
      </w:r>
      <w:proofErr w:type="spellEnd"/>
      <w:r w:rsidRPr="00AD53C7">
        <w:rPr>
          <w:rFonts w:ascii="Times New Roman" w:hAnsi="Times New Roman"/>
          <w:color w:val="000000" w:themeColor="text1"/>
          <w:sz w:val="24"/>
          <w:szCs w:val="24"/>
          <w:lang w:val="en-US"/>
        </w:rPr>
        <w:t xml:space="preserve"> PM, </w:t>
      </w:r>
      <w:proofErr w:type="spellStart"/>
      <w:r w:rsidRPr="00AD53C7">
        <w:rPr>
          <w:rFonts w:ascii="Times New Roman" w:hAnsi="Times New Roman"/>
          <w:color w:val="000000" w:themeColor="text1"/>
          <w:sz w:val="24"/>
          <w:szCs w:val="24"/>
          <w:lang w:val="en-US"/>
        </w:rPr>
        <w:t>Elkind</w:t>
      </w:r>
      <w:proofErr w:type="spellEnd"/>
      <w:r w:rsidRPr="00AD53C7">
        <w:rPr>
          <w:rFonts w:ascii="Times New Roman" w:hAnsi="Times New Roman"/>
          <w:color w:val="000000" w:themeColor="text1"/>
          <w:sz w:val="24"/>
          <w:szCs w:val="24"/>
          <w:lang w:val="en-US"/>
        </w:rPr>
        <w:t xml:space="preserve"> MS, et al. Atrial Fibrillation and Mechanisms of Stroke: Time for a New Model. </w:t>
      </w:r>
      <w:hyperlink r:id="rId24" w:tooltip="Stroke." w:history="1">
        <w:r w:rsidRPr="00AD53C7">
          <w:rPr>
            <w:rStyle w:val="a4"/>
            <w:rFonts w:ascii="Times New Roman" w:hAnsi="Times New Roman"/>
            <w:color w:val="000000" w:themeColor="text1"/>
            <w:sz w:val="24"/>
            <w:szCs w:val="24"/>
            <w:u w:val="none"/>
            <w:shd w:val="clear" w:color="auto" w:fill="FFFFFF"/>
            <w:lang w:val="en-US"/>
          </w:rPr>
          <w:t>Stroke.</w:t>
        </w:r>
      </w:hyperlink>
      <w:r w:rsidRPr="00AD53C7">
        <w:rPr>
          <w:rStyle w:val="apple-converted-space"/>
          <w:rFonts w:ascii="Times New Roman" w:hAnsi="Times New Roman"/>
          <w:color w:val="000000" w:themeColor="text1"/>
          <w:sz w:val="24"/>
          <w:szCs w:val="24"/>
          <w:shd w:val="clear" w:color="auto" w:fill="FFFFFF"/>
          <w:lang w:val="en-US"/>
        </w:rPr>
        <w:t> </w:t>
      </w:r>
      <w:r w:rsidRPr="00AD53C7">
        <w:rPr>
          <w:rFonts w:ascii="Times New Roman" w:hAnsi="Times New Roman"/>
          <w:color w:val="000000" w:themeColor="text1"/>
          <w:sz w:val="24"/>
          <w:szCs w:val="24"/>
          <w:shd w:val="clear" w:color="auto" w:fill="FFFFFF"/>
          <w:lang w:val="en-US"/>
        </w:rPr>
        <w:t>2016</w:t>
      </w:r>
      <w:proofErr w:type="gramStart"/>
      <w:r w:rsidRPr="00AD53C7">
        <w:rPr>
          <w:rFonts w:ascii="Times New Roman" w:hAnsi="Times New Roman"/>
          <w:color w:val="000000" w:themeColor="text1"/>
          <w:sz w:val="24"/>
          <w:szCs w:val="24"/>
          <w:shd w:val="clear" w:color="auto" w:fill="FFFFFF"/>
          <w:lang w:val="en-US"/>
        </w:rPr>
        <w:t>;47</w:t>
      </w:r>
      <w:proofErr w:type="gramEnd"/>
      <w:r w:rsidRPr="00AD53C7">
        <w:rPr>
          <w:rFonts w:ascii="Times New Roman" w:hAnsi="Times New Roman"/>
          <w:color w:val="000000" w:themeColor="text1"/>
          <w:sz w:val="24"/>
          <w:szCs w:val="24"/>
          <w:shd w:val="clear" w:color="auto" w:fill="FFFFFF"/>
          <w:lang w:val="en-US"/>
        </w:rPr>
        <w:t>(3):895-900.</w:t>
      </w:r>
    </w:p>
    <w:p w14:paraId="17DA8B9C" w14:textId="77777777" w:rsidR="0005338E" w:rsidRPr="00AD53C7" w:rsidRDefault="00273B45" w:rsidP="0005338E">
      <w:pPr>
        <w:pStyle w:val="a3"/>
        <w:numPr>
          <w:ilvl w:val="0"/>
          <w:numId w:val="2"/>
        </w:numPr>
        <w:shd w:val="clear" w:color="auto" w:fill="FFFFFF"/>
        <w:spacing w:after="0" w:line="480" w:lineRule="auto"/>
        <w:ind w:left="284"/>
        <w:jc w:val="both"/>
        <w:textAlignment w:val="baseline"/>
        <w:rPr>
          <w:rFonts w:ascii="Times New Roman" w:hAnsi="Times New Roman"/>
          <w:bCs/>
          <w:color w:val="000000" w:themeColor="text1"/>
          <w:sz w:val="24"/>
          <w:szCs w:val="24"/>
          <w:lang w:val="en-US"/>
        </w:rPr>
      </w:pPr>
      <w:hyperlink r:id="rId25" w:history="1">
        <w:proofErr w:type="spellStart"/>
        <w:r w:rsidR="0005338E" w:rsidRPr="00AD53C7">
          <w:rPr>
            <w:rStyle w:val="a4"/>
            <w:rFonts w:ascii="Times New Roman" w:hAnsi="Times New Roman"/>
            <w:color w:val="000000" w:themeColor="text1"/>
            <w:sz w:val="24"/>
            <w:szCs w:val="24"/>
            <w:u w:val="none"/>
            <w:lang w:val="en-US"/>
          </w:rPr>
          <w:t>Brambatti</w:t>
        </w:r>
        <w:proofErr w:type="spellEnd"/>
        <w:r w:rsidR="0005338E" w:rsidRPr="00AD53C7">
          <w:rPr>
            <w:rStyle w:val="a4"/>
            <w:rFonts w:ascii="Times New Roman" w:hAnsi="Times New Roman"/>
            <w:color w:val="000000" w:themeColor="text1"/>
            <w:sz w:val="24"/>
            <w:szCs w:val="24"/>
            <w:u w:val="none"/>
            <w:lang w:val="en-US"/>
          </w:rPr>
          <w:t xml:space="preserve"> M</w:t>
        </w:r>
      </w:hyperlink>
      <w:r w:rsidR="0005338E" w:rsidRPr="00AD53C7">
        <w:rPr>
          <w:rFonts w:ascii="Times New Roman" w:hAnsi="Times New Roman"/>
          <w:color w:val="000000" w:themeColor="text1"/>
          <w:sz w:val="24"/>
          <w:szCs w:val="24"/>
          <w:lang w:val="en-US"/>
        </w:rPr>
        <w:t>,</w:t>
      </w:r>
      <w:r w:rsidR="0005338E" w:rsidRPr="00AD53C7">
        <w:rPr>
          <w:rStyle w:val="apple-converted-space"/>
          <w:rFonts w:ascii="Times New Roman" w:hAnsi="Times New Roman"/>
          <w:color w:val="000000" w:themeColor="text1"/>
          <w:sz w:val="24"/>
          <w:szCs w:val="24"/>
          <w:lang w:val="en-US"/>
        </w:rPr>
        <w:t> </w:t>
      </w:r>
      <w:hyperlink r:id="rId26" w:history="1">
        <w:r w:rsidR="0005338E" w:rsidRPr="00AD53C7">
          <w:rPr>
            <w:rStyle w:val="a4"/>
            <w:rFonts w:ascii="Times New Roman" w:hAnsi="Times New Roman"/>
            <w:color w:val="000000" w:themeColor="text1"/>
            <w:sz w:val="24"/>
            <w:szCs w:val="24"/>
            <w:u w:val="none"/>
            <w:lang w:val="en-US"/>
          </w:rPr>
          <w:t>Connolly SJ</w:t>
        </w:r>
      </w:hyperlink>
      <w:r w:rsidR="0005338E" w:rsidRPr="00AD53C7">
        <w:rPr>
          <w:rFonts w:ascii="Times New Roman" w:hAnsi="Times New Roman"/>
          <w:color w:val="000000" w:themeColor="text1"/>
          <w:sz w:val="24"/>
          <w:szCs w:val="24"/>
          <w:lang w:val="en-US"/>
        </w:rPr>
        <w:t>,</w:t>
      </w:r>
      <w:r w:rsidR="0005338E" w:rsidRPr="00AD53C7">
        <w:rPr>
          <w:rStyle w:val="apple-converted-space"/>
          <w:rFonts w:ascii="Times New Roman" w:hAnsi="Times New Roman"/>
          <w:color w:val="000000" w:themeColor="text1"/>
          <w:sz w:val="24"/>
          <w:szCs w:val="24"/>
          <w:lang w:val="en-US"/>
        </w:rPr>
        <w:t> </w:t>
      </w:r>
      <w:hyperlink r:id="rId27" w:history="1">
        <w:r w:rsidR="0005338E" w:rsidRPr="00AD53C7">
          <w:rPr>
            <w:rStyle w:val="a4"/>
            <w:rFonts w:ascii="Times New Roman" w:hAnsi="Times New Roman"/>
            <w:color w:val="000000" w:themeColor="text1"/>
            <w:sz w:val="24"/>
            <w:szCs w:val="24"/>
            <w:u w:val="none"/>
            <w:lang w:val="en-US"/>
          </w:rPr>
          <w:t>Gold MR</w:t>
        </w:r>
      </w:hyperlink>
      <w:r w:rsidR="0005338E" w:rsidRPr="00AD53C7">
        <w:rPr>
          <w:rFonts w:ascii="Times New Roman" w:hAnsi="Times New Roman"/>
          <w:color w:val="000000" w:themeColor="text1"/>
          <w:sz w:val="24"/>
          <w:szCs w:val="24"/>
          <w:lang w:val="en-US"/>
        </w:rPr>
        <w:t xml:space="preserve">, et </w:t>
      </w:r>
      <w:proofErr w:type="spellStart"/>
      <w:proofErr w:type="gramStart"/>
      <w:r w:rsidR="0005338E" w:rsidRPr="00AD53C7">
        <w:rPr>
          <w:rFonts w:ascii="Times New Roman" w:hAnsi="Times New Roman"/>
          <w:color w:val="000000" w:themeColor="text1"/>
          <w:sz w:val="24"/>
          <w:szCs w:val="24"/>
          <w:lang w:val="en-US"/>
        </w:rPr>
        <w:t>al.Temporal</w:t>
      </w:r>
      <w:proofErr w:type="spellEnd"/>
      <w:proofErr w:type="gramEnd"/>
      <w:r w:rsidR="0005338E" w:rsidRPr="00AD53C7">
        <w:rPr>
          <w:rFonts w:ascii="Times New Roman" w:hAnsi="Times New Roman"/>
          <w:color w:val="000000" w:themeColor="text1"/>
          <w:sz w:val="24"/>
          <w:szCs w:val="24"/>
          <w:lang w:val="en-US"/>
        </w:rPr>
        <w:t xml:space="preserve"> relationship between subclinical atrial fibrillation and embolic events. </w:t>
      </w:r>
      <w:hyperlink r:id="rId28" w:tooltip="Circulation." w:history="1">
        <w:r w:rsidR="0005338E" w:rsidRPr="00AD53C7">
          <w:rPr>
            <w:rStyle w:val="a4"/>
            <w:rFonts w:ascii="Times New Roman" w:hAnsi="Times New Roman"/>
            <w:color w:val="000000" w:themeColor="text1"/>
            <w:sz w:val="24"/>
            <w:szCs w:val="24"/>
            <w:u w:val="none"/>
            <w:lang w:val="en-US"/>
          </w:rPr>
          <w:t>Circulation.</w:t>
        </w:r>
      </w:hyperlink>
      <w:r w:rsidR="0005338E" w:rsidRPr="00AD53C7">
        <w:rPr>
          <w:rStyle w:val="apple-converted-space"/>
          <w:rFonts w:ascii="Times New Roman" w:hAnsi="Times New Roman"/>
          <w:color w:val="000000" w:themeColor="text1"/>
          <w:sz w:val="24"/>
          <w:szCs w:val="24"/>
          <w:lang w:val="en-US"/>
        </w:rPr>
        <w:t> </w:t>
      </w:r>
      <w:r w:rsidR="0005338E" w:rsidRPr="00AD53C7">
        <w:rPr>
          <w:rFonts w:ascii="Times New Roman" w:hAnsi="Times New Roman"/>
          <w:color w:val="000000" w:themeColor="text1"/>
          <w:sz w:val="24"/>
          <w:szCs w:val="24"/>
          <w:lang w:val="en-US"/>
        </w:rPr>
        <w:t>2014</w:t>
      </w:r>
      <w:proofErr w:type="gramStart"/>
      <w:r w:rsidR="0005338E" w:rsidRPr="00AD53C7">
        <w:rPr>
          <w:rFonts w:ascii="Times New Roman" w:hAnsi="Times New Roman"/>
          <w:color w:val="000000" w:themeColor="text1"/>
          <w:sz w:val="24"/>
          <w:szCs w:val="24"/>
          <w:lang w:val="en-US"/>
        </w:rPr>
        <w:t>;129</w:t>
      </w:r>
      <w:proofErr w:type="gramEnd"/>
      <w:r w:rsidR="0005338E" w:rsidRPr="00AD53C7">
        <w:rPr>
          <w:rFonts w:ascii="Times New Roman" w:hAnsi="Times New Roman"/>
          <w:color w:val="000000" w:themeColor="text1"/>
          <w:sz w:val="24"/>
          <w:szCs w:val="24"/>
          <w:lang w:val="en-US"/>
        </w:rPr>
        <w:t>(21):2094-9.</w:t>
      </w:r>
    </w:p>
    <w:p w14:paraId="59063756" w14:textId="77D11FA1" w:rsidR="00186B31" w:rsidRPr="00186B31" w:rsidRDefault="00186B31" w:rsidP="00186B31">
      <w:pPr>
        <w:widowControl w:val="0"/>
        <w:autoSpaceDE w:val="0"/>
        <w:autoSpaceDN w:val="0"/>
        <w:adjustRightInd w:val="0"/>
        <w:spacing w:after="0" w:line="360" w:lineRule="auto"/>
        <w:ind w:left="-76"/>
        <w:rPr>
          <w:rFonts w:ascii="Times New Roman" w:hAnsi="Times New Roman" w:cs="Times New Roman"/>
          <w:color w:val="000000" w:themeColor="text1"/>
          <w:kern w:val="1"/>
          <w:sz w:val="24"/>
          <w:szCs w:val="24"/>
          <w:lang w:val="en-US"/>
        </w:rPr>
      </w:pPr>
      <w:r w:rsidRPr="00186B31">
        <w:rPr>
          <w:rFonts w:ascii="Times New Roman" w:hAnsi="Times New Roman" w:cs="Times New Roman"/>
          <w:color w:val="000000" w:themeColor="text1"/>
          <w:kern w:val="1"/>
          <w:sz w:val="24"/>
          <w:szCs w:val="24"/>
          <w:lang w:val="en-US"/>
        </w:rPr>
        <w:t xml:space="preserve">11. </w:t>
      </w:r>
      <w:proofErr w:type="spellStart"/>
      <w:r w:rsidRPr="00186B31">
        <w:rPr>
          <w:rFonts w:ascii="Times New Roman" w:hAnsi="Times New Roman" w:cs="Times New Roman"/>
          <w:color w:val="000000" w:themeColor="text1"/>
          <w:kern w:val="1"/>
          <w:sz w:val="24"/>
          <w:szCs w:val="24"/>
          <w:lang w:val="en-US"/>
        </w:rPr>
        <w:t>Ythan</w:t>
      </w:r>
      <w:proofErr w:type="spellEnd"/>
      <w:r w:rsidRPr="00186B31">
        <w:rPr>
          <w:rFonts w:ascii="Times New Roman" w:hAnsi="Times New Roman" w:cs="Times New Roman"/>
          <w:color w:val="000000" w:themeColor="text1"/>
          <w:kern w:val="1"/>
          <w:sz w:val="24"/>
          <w:szCs w:val="24"/>
          <w:lang w:val="en-US"/>
        </w:rPr>
        <w:t xml:space="preserve"> </w:t>
      </w:r>
      <w:proofErr w:type="spellStart"/>
      <w:r w:rsidRPr="00186B31">
        <w:rPr>
          <w:rFonts w:ascii="Times New Roman" w:hAnsi="Times New Roman" w:cs="Times New Roman"/>
          <w:color w:val="000000" w:themeColor="text1"/>
          <w:kern w:val="1"/>
          <w:sz w:val="24"/>
          <w:szCs w:val="24"/>
          <w:lang w:val="en-US"/>
        </w:rPr>
        <w:t xml:space="preserve">H. </w:t>
      </w:r>
      <w:proofErr w:type="spellEnd"/>
      <w:r w:rsidRPr="00186B31">
        <w:rPr>
          <w:rFonts w:ascii="Times New Roman" w:hAnsi="Times New Roman" w:cs="Times New Roman"/>
          <w:color w:val="000000" w:themeColor="text1"/>
          <w:kern w:val="1"/>
          <w:sz w:val="24"/>
          <w:szCs w:val="24"/>
          <w:lang w:val="en-US"/>
        </w:rPr>
        <w:t>Goldberg</w:t>
      </w:r>
      <w:r>
        <w:rPr>
          <w:rFonts w:ascii="Times New Roman" w:hAnsi="Times New Roman" w:cs="Times New Roman"/>
          <w:color w:val="000000" w:themeColor="text1"/>
          <w:kern w:val="1"/>
          <w:sz w:val="24"/>
          <w:szCs w:val="24"/>
          <w:lang w:val="en-US"/>
        </w:rPr>
        <w:t>.</w:t>
      </w:r>
      <w:r w:rsidRPr="00186B31">
        <w:rPr>
          <w:rFonts w:ascii="Times New Roman" w:hAnsi="Times New Roman" w:cs="Times New Roman"/>
          <w:color w:val="000000" w:themeColor="text1"/>
          <w:kern w:val="1"/>
          <w:sz w:val="24"/>
          <w:szCs w:val="24"/>
          <w:lang w:val="en-US"/>
        </w:rPr>
        <w:t xml:space="preserve"> </w:t>
      </w:r>
      <w:proofErr w:type="gramStart"/>
      <w:r w:rsidRPr="00186B31">
        <w:rPr>
          <w:rFonts w:ascii="Times New Roman" w:hAnsi="Times New Roman" w:cs="Times New Roman"/>
          <w:color w:val="000000" w:themeColor="text1"/>
          <w:kern w:val="1"/>
          <w:sz w:val="24"/>
          <w:szCs w:val="24"/>
          <w:lang w:val="en-US"/>
        </w:rPr>
        <w:t>Relationship Between Atrial Fibrillation and Left Atrial Size</w:t>
      </w:r>
      <w:r>
        <w:rPr>
          <w:rFonts w:ascii="Times New Roman" w:hAnsi="Times New Roman" w:cs="Times New Roman"/>
          <w:color w:val="000000" w:themeColor="text1"/>
          <w:kern w:val="1"/>
          <w:sz w:val="24"/>
          <w:szCs w:val="24"/>
          <w:lang w:val="en-US"/>
        </w:rPr>
        <w:t>.</w:t>
      </w:r>
      <w:proofErr w:type="gramEnd"/>
      <w:r>
        <w:rPr>
          <w:rFonts w:ascii="Times New Roman" w:hAnsi="Times New Roman" w:cs="Times New Roman"/>
          <w:color w:val="000000" w:themeColor="text1"/>
          <w:kern w:val="1"/>
          <w:sz w:val="24"/>
          <w:szCs w:val="24"/>
          <w:lang w:val="en-US"/>
        </w:rPr>
        <w:t xml:space="preserve">                            J</w:t>
      </w:r>
      <w:r w:rsidRPr="00186B31">
        <w:rPr>
          <w:rFonts w:ascii="Times New Roman" w:hAnsi="Times New Roman" w:cs="Times New Roman"/>
          <w:color w:val="000000" w:themeColor="text1"/>
          <w:kern w:val="1"/>
          <w:sz w:val="24"/>
          <w:szCs w:val="24"/>
          <w:lang w:val="en-US"/>
        </w:rPr>
        <w:t>acc.2007.11.030</w:t>
      </w:r>
    </w:p>
    <w:p w14:paraId="59B057D6" w14:textId="77777777" w:rsidR="00186B31" w:rsidRPr="00186B31" w:rsidRDefault="00186B31" w:rsidP="00186B31">
      <w:pPr>
        <w:widowControl w:val="0"/>
        <w:autoSpaceDE w:val="0"/>
        <w:autoSpaceDN w:val="0"/>
        <w:adjustRightInd w:val="0"/>
        <w:spacing w:after="0" w:line="240" w:lineRule="auto"/>
        <w:rPr>
          <w:rFonts w:ascii="Times" w:hAnsi="Times" w:cs="Times"/>
          <w:color w:val="000000" w:themeColor="text1"/>
          <w:kern w:val="1"/>
          <w:sz w:val="36"/>
          <w:szCs w:val="36"/>
          <w:lang w:val="en-US"/>
        </w:rPr>
      </w:pPr>
    </w:p>
    <w:p w14:paraId="72A617E1" w14:textId="27393B9A" w:rsidR="00186B31" w:rsidRPr="00186B31" w:rsidRDefault="00186B31" w:rsidP="00186B31">
      <w:pPr>
        <w:shd w:val="clear" w:color="auto" w:fill="FFFFFF"/>
        <w:spacing w:after="0" w:line="480" w:lineRule="auto"/>
        <w:jc w:val="both"/>
        <w:textAlignment w:val="baseline"/>
        <w:rPr>
          <w:rFonts w:ascii="Times New Roman" w:hAnsi="Times New Roman"/>
          <w:bCs/>
          <w:color w:val="000000" w:themeColor="text1"/>
          <w:sz w:val="24"/>
          <w:szCs w:val="24"/>
          <w:lang w:val="en-US"/>
        </w:rPr>
      </w:pPr>
    </w:p>
    <w:p w14:paraId="163896EA" w14:textId="77777777" w:rsidR="0005338E" w:rsidRPr="00FF17E1" w:rsidRDefault="0005338E" w:rsidP="0005338E">
      <w:pPr>
        <w:pStyle w:val="a3"/>
        <w:shd w:val="clear" w:color="auto" w:fill="FFFFFF"/>
        <w:spacing w:after="0" w:line="480" w:lineRule="auto"/>
        <w:ind w:left="284"/>
        <w:jc w:val="both"/>
        <w:textAlignment w:val="baseline"/>
        <w:rPr>
          <w:rFonts w:ascii="Times New Roman" w:hAnsi="Times New Roman"/>
          <w:bCs/>
          <w:sz w:val="24"/>
          <w:szCs w:val="24"/>
          <w:lang w:val="en-US"/>
        </w:rPr>
      </w:pPr>
    </w:p>
    <w:p w14:paraId="1402591D" w14:textId="77777777" w:rsidR="0005338E" w:rsidRPr="004E1A69" w:rsidRDefault="0005338E" w:rsidP="0005338E">
      <w:pPr>
        <w:shd w:val="clear" w:color="auto" w:fill="FFFFFF"/>
        <w:spacing w:after="0" w:line="480" w:lineRule="auto"/>
        <w:jc w:val="both"/>
        <w:rPr>
          <w:rFonts w:ascii="Times New Roman" w:eastAsia="Times New Roman" w:hAnsi="Times New Roman" w:cs="Times New Roman"/>
          <w:color w:val="000000" w:themeColor="text1"/>
          <w:sz w:val="24"/>
          <w:szCs w:val="24"/>
          <w:lang w:val="en-US" w:eastAsia="ru-RU"/>
        </w:rPr>
      </w:pPr>
    </w:p>
    <w:p w14:paraId="392179AA" w14:textId="77777777" w:rsidR="0005338E" w:rsidRPr="00325DAB" w:rsidRDefault="0005338E" w:rsidP="0005338E">
      <w:pPr>
        <w:pStyle w:val="a6"/>
        <w:keepNext/>
        <w:rPr>
          <w:rFonts w:ascii="Times New Roman" w:hAnsi="Times New Roman" w:cs="Times New Roman"/>
          <w:b/>
          <w:i w:val="0"/>
          <w:color w:val="auto"/>
          <w:sz w:val="24"/>
          <w:szCs w:val="24"/>
          <w:lang w:val="en-US"/>
        </w:rPr>
      </w:pPr>
    </w:p>
    <w:p w14:paraId="54453736" w14:textId="77777777" w:rsidR="0005338E" w:rsidRPr="00D601EA" w:rsidRDefault="0005338E" w:rsidP="0005338E">
      <w:pPr>
        <w:pStyle w:val="a6"/>
        <w:keepNext/>
        <w:rPr>
          <w:rFonts w:ascii="Times New Roman" w:hAnsi="Times New Roman" w:cs="Times New Roman"/>
          <w:i w:val="0"/>
          <w:color w:val="auto"/>
          <w:sz w:val="24"/>
          <w:szCs w:val="24"/>
        </w:rPr>
      </w:pPr>
      <w:r w:rsidRPr="001E0B9E">
        <w:rPr>
          <w:rFonts w:ascii="Times New Roman" w:hAnsi="Times New Roman" w:cs="Times New Roman"/>
          <w:b/>
          <w:i w:val="0"/>
          <w:color w:val="auto"/>
          <w:sz w:val="24"/>
          <w:szCs w:val="24"/>
        </w:rPr>
        <w:t>Таблица</w:t>
      </w:r>
      <w:r w:rsidRPr="001E0B9E">
        <w:rPr>
          <w:rFonts w:ascii="Times New Roman" w:hAnsi="Times New Roman" w:cs="Times New Roman"/>
          <w:b/>
          <w:i w:val="0"/>
          <w:color w:val="auto"/>
          <w:sz w:val="24"/>
          <w:szCs w:val="24"/>
        </w:rPr>
        <w:fldChar w:fldCharType="begin"/>
      </w:r>
      <w:r w:rsidRPr="00B7283C">
        <w:rPr>
          <w:rFonts w:ascii="Times New Roman" w:hAnsi="Times New Roman" w:cs="Times New Roman"/>
          <w:b/>
          <w:i w:val="0"/>
          <w:color w:val="auto"/>
          <w:sz w:val="24"/>
          <w:szCs w:val="24"/>
          <w:lang w:val="en-US"/>
        </w:rPr>
        <w:instrText>SEQ</w:instrText>
      </w:r>
      <w:r w:rsidRPr="001E0B9E">
        <w:rPr>
          <w:rFonts w:ascii="Times New Roman" w:hAnsi="Times New Roman" w:cs="Times New Roman"/>
          <w:b/>
          <w:i w:val="0"/>
          <w:color w:val="auto"/>
          <w:sz w:val="24"/>
          <w:szCs w:val="24"/>
        </w:rPr>
        <w:instrText>Таблица</w:instrText>
      </w:r>
      <w:r w:rsidRPr="00D601EA">
        <w:rPr>
          <w:rFonts w:ascii="Times New Roman" w:hAnsi="Times New Roman" w:cs="Times New Roman"/>
          <w:b/>
          <w:i w:val="0"/>
          <w:color w:val="auto"/>
          <w:sz w:val="24"/>
          <w:szCs w:val="24"/>
        </w:rPr>
        <w:instrText xml:space="preserve"> \* </w:instrText>
      </w:r>
      <w:r w:rsidRPr="00B7283C">
        <w:rPr>
          <w:rFonts w:ascii="Times New Roman" w:hAnsi="Times New Roman" w:cs="Times New Roman"/>
          <w:b/>
          <w:i w:val="0"/>
          <w:color w:val="auto"/>
          <w:sz w:val="24"/>
          <w:szCs w:val="24"/>
          <w:lang w:val="en-US"/>
        </w:rPr>
        <w:instrText>ARABIC</w:instrText>
      </w:r>
      <w:r w:rsidRPr="001E0B9E">
        <w:rPr>
          <w:rFonts w:ascii="Times New Roman" w:hAnsi="Times New Roman" w:cs="Times New Roman"/>
          <w:b/>
          <w:i w:val="0"/>
          <w:color w:val="auto"/>
          <w:sz w:val="24"/>
          <w:szCs w:val="24"/>
        </w:rPr>
        <w:fldChar w:fldCharType="separate"/>
      </w:r>
      <w:r w:rsidRPr="00D601EA">
        <w:rPr>
          <w:rFonts w:ascii="Times New Roman" w:hAnsi="Times New Roman" w:cs="Times New Roman"/>
          <w:b/>
          <w:i w:val="0"/>
          <w:noProof/>
          <w:color w:val="auto"/>
          <w:sz w:val="24"/>
          <w:szCs w:val="24"/>
        </w:rPr>
        <w:t>1</w:t>
      </w:r>
      <w:r w:rsidRPr="001E0B9E">
        <w:rPr>
          <w:rFonts w:ascii="Times New Roman" w:hAnsi="Times New Roman" w:cs="Times New Roman"/>
          <w:b/>
          <w:i w:val="0"/>
          <w:color w:val="auto"/>
          <w:sz w:val="24"/>
          <w:szCs w:val="24"/>
        </w:rPr>
        <w:fldChar w:fldCharType="end"/>
      </w:r>
      <w:r w:rsidRPr="00D601EA">
        <w:rPr>
          <w:rFonts w:ascii="Times New Roman" w:hAnsi="Times New Roman" w:cs="Times New Roman"/>
          <w:b/>
          <w:i w:val="0"/>
          <w:color w:val="auto"/>
          <w:sz w:val="24"/>
          <w:szCs w:val="24"/>
        </w:rPr>
        <w:t>.</w:t>
      </w:r>
      <w:r w:rsidRPr="00D947A2">
        <w:rPr>
          <w:rFonts w:ascii="Times New Roman" w:hAnsi="Times New Roman" w:cs="Times New Roman"/>
          <w:b/>
          <w:i w:val="0"/>
          <w:color w:val="auto"/>
          <w:sz w:val="24"/>
          <w:szCs w:val="24"/>
        </w:rPr>
        <w:t xml:space="preserve"> </w:t>
      </w:r>
      <w:r w:rsidRPr="001E0B9E">
        <w:rPr>
          <w:rFonts w:ascii="Times New Roman" w:hAnsi="Times New Roman" w:cs="Times New Roman"/>
          <w:i w:val="0"/>
          <w:color w:val="auto"/>
          <w:sz w:val="24"/>
          <w:szCs w:val="24"/>
        </w:rPr>
        <w:t>Клинико</w:t>
      </w:r>
      <w:r w:rsidRPr="00D601EA">
        <w:rPr>
          <w:rFonts w:ascii="Times New Roman" w:hAnsi="Times New Roman" w:cs="Times New Roman"/>
          <w:i w:val="0"/>
          <w:color w:val="auto"/>
          <w:sz w:val="24"/>
          <w:szCs w:val="24"/>
        </w:rPr>
        <w:t>-</w:t>
      </w:r>
      <w:r w:rsidRPr="001E0B9E">
        <w:rPr>
          <w:rFonts w:ascii="Times New Roman" w:hAnsi="Times New Roman" w:cs="Times New Roman"/>
          <w:i w:val="0"/>
          <w:color w:val="auto"/>
          <w:sz w:val="24"/>
          <w:szCs w:val="24"/>
        </w:rPr>
        <w:t>демографическая</w:t>
      </w:r>
      <w:r w:rsidRPr="00D947A2">
        <w:rPr>
          <w:rFonts w:ascii="Times New Roman" w:hAnsi="Times New Roman" w:cs="Times New Roman"/>
          <w:i w:val="0"/>
          <w:color w:val="auto"/>
          <w:sz w:val="24"/>
          <w:szCs w:val="24"/>
        </w:rPr>
        <w:t xml:space="preserve"> </w:t>
      </w:r>
      <w:r w:rsidRPr="001E0B9E">
        <w:rPr>
          <w:rFonts w:ascii="Times New Roman" w:hAnsi="Times New Roman" w:cs="Times New Roman"/>
          <w:i w:val="0"/>
          <w:color w:val="auto"/>
          <w:sz w:val="24"/>
          <w:szCs w:val="24"/>
        </w:rPr>
        <w:t>характеристика</w:t>
      </w:r>
      <w:r w:rsidRPr="00D947A2">
        <w:rPr>
          <w:rFonts w:ascii="Times New Roman" w:hAnsi="Times New Roman" w:cs="Times New Roman"/>
          <w:i w:val="0"/>
          <w:color w:val="auto"/>
          <w:sz w:val="24"/>
          <w:szCs w:val="24"/>
        </w:rPr>
        <w:t xml:space="preserve"> </w:t>
      </w:r>
      <w:r w:rsidRPr="001E0B9E">
        <w:rPr>
          <w:rFonts w:ascii="Times New Roman" w:hAnsi="Times New Roman" w:cs="Times New Roman"/>
          <w:i w:val="0"/>
          <w:color w:val="auto"/>
          <w:sz w:val="24"/>
          <w:szCs w:val="24"/>
        </w:rPr>
        <w:t>пациентов</w:t>
      </w:r>
      <w:r w:rsidRPr="00D601EA">
        <w:rPr>
          <w:rFonts w:ascii="Times New Roman" w:hAnsi="Times New Roman" w:cs="Times New Roman"/>
          <w:i w:val="0"/>
          <w:color w:val="auto"/>
          <w:sz w:val="24"/>
          <w:szCs w:val="24"/>
        </w:rPr>
        <w:t xml:space="preserve">, </w:t>
      </w:r>
    </w:p>
    <w:p w14:paraId="7E640541" w14:textId="77777777" w:rsidR="0005338E" w:rsidRPr="000914A4" w:rsidRDefault="0005338E" w:rsidP="0005338E">
      <w:pPr>
        <w:pStyle w:val="a6"/>
        <w:keepNext/>
        <w:rPr>
          <w:rFonts w:ascii="Times New Roman" w:hAnsi="Times New Roman" w:cs="Times New Roman"/>
          <w:i w:val="0"/>
          <w:color w:val="auto"/>
          <w:sz w:val="24"/>
          <w:szCs w:val="24"/>
        </w:rPr>
      </w:pPr>
      <w:r>
        <w:rPr>
          <w:rFonts w:ascii="Times New Roman" w:hAnsi="Times New Roman" w:cs="Times New Roman"/>
          <w:i w:val="0"/>
          <w:color w:val="auto"/>
          <w:sz w:val="24"/>
          <w:szCs w:val="24"/>
        </w:rPr>
        <w:t>в</w:t>
      </w:r>
      <w:r w:rsidRPr="001E0B9E">
        <w:rPr>
          <w:rFonts w:ascii="Times New Roman" w:hAnsi="Times New Roman" w:cs="Times New Roman"/>
          <w:i w:val="0"/>
          <w:color w:val="auto"/>
          <w:sz w:val="24"/>
          <w:szCs w:val="24"/>
        </w:rPr>
        <w:t>ключённых</w:t>
      </w:r>
      <w:r>
        <w:rPr>
          <w:rFonts w:ascii="Times New Roman" w:hAnsi="Times New Roman" w:cs="Times New Roman"/>
          <w:i w:val="0"/>
          <w:color w:val="auto"/>
          <w:sz w:val="24"/>
          <w:szCs w:val="24"/>
          <w:lang w:val="en-US"/>
        </w:rPr>
        <w:t xml:space="preserve"> </w:t>
      </w:r>
      <w:r w:rsidRPr="001E0B9E">
        <w:rPr>
          <w:rFonts w:ascii="Times New Roman" w:hAnsi="Times New Roman" w:cs="Times New Roman"/>
          <w:i w:val="0"/>
          <w:color w:val="auto"/>
          <w:sz w:val="24"/>
          <w:szCs w:val="24"/>
        </w:rPr>
        <w:t>в</w:t>
      </w:r>
      <w:r>
        <w:rPr>
          <w:rFonts w:ascii="Times New Roman" w:hAnsi="Times New Roman" w:cs="Times New Roman"/>
          <w:i w:val="0"/>
          <w:color w:val="auto"/>
          <w:sz w:val="24"/>
          <w:szCs w:val="24"/>
          <w:lang w:val="en-US"/>
        </w:rPr>
        <w:t xml:space="preserve"> </w:t>
      </w:r>
      <w:r w:rsidRPr="001E0B9E">
        <w:rPr>
          <w:rFonts w:ascii="Times New Roman" w:hAnsi="Times New Roman" w:cs="Times New Roman"/>
          <w:i w:val="0"/>
          <w:color w:val="auto"/>
          <w:sz w:val="24"/>
          <w:szCs w:val="24"/>
        </w:rPr>
        <w:t>исследование</w:t>
      </w:r>
      <w:r>
        <w:rPr>
          <w:rFonts w:ascii="Times New Roman" w:hAnsi="Times New Roman" w:cs="Times New Roman"/>
          <w:i w:val="0"/>
          <w:color w:val="auto"/>
          <w:sz w:val="24"/>
          <w:szCs w:val="24"/>
          <w:lang w:val="en-US"/>
        </w:rPr>
        <w:t xml:space="preserve"> </w:t>
      </w:r>
      <w:r w:rsidRPr="0096013C">
        <w:rPr>
          <w:rFonts w:ascii="Times New Roman" w:hAnsi="Times New Roman" w:cs="Times New Roman"/>
          <w:i w:val="0"/>
          <w:color w:val="auto"/>
          <w:sz w:val="24"/>
          <w:szCs w:val="24"/>
        </w:rPr>
        <w:t>(</w:t>
      </w:r>
      <w:r w:rsidRPr="001E0B9E">
        <w:rPr>
          <w:rFonts w:ascii="Times New Roman" w:hAnsi="Times New Roman" w:cs="Times New Roman"/>
          <w:i w:val="0"/>
          <w:color w:val="auto"/>
          <w:sz w:val="24"/>
          <w:szCs w:val="24"/>
          <w:lang w:val="en-US"/>
        </w:rPr>
        <w:t>n</w:t>
      </w:r>
      <w:r w:rsidRPr="0096013C">
        <w:rPr>
          <w:rFonts w:ascii="Times New Roman" w:hAnsi="Times New Roman" w:cs="Times New Roman"/>
          <w:i w:val="0"/>
          <w:color w:val="auto"/>
          <w:sz w:val="24"/>
          <w:szCs w:val="24"/>
        </w:rPr>
        <w:t>=304)</w:t>
      </w:r>
    </w:p>
    <w:tbl>
      <w:tblPr>
        <w:tblStyle w:val="a5"/>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46"/>
        <w:gridCol w:w="1984"/>
        <w:gridCol w:w="2127"/>
        <w:gridCol w:w="2693"/>
      </w:tblGrid>
      <w:tr w:rsidR="0005338E" w:rsidRPr="00F4424E" w14:paraId="4D8E9B8F" w14:textId="77777777" w:rsidTr="00273B45">
        <w:trPr>
          <w:trHeight w:val="647"/>
        </w:trPr>
        <w:tc>
          <w:tcPr>
            <w:tcW w:w="4957" w:type="dxa"/>
            <w:gridSpan w:val="3"/>
            <w:tcBorders>
              <w:top w:val="single" w:sz="4" w:space="0" w:color="auto"/>
              <w:left w:val="single" w:sz="4" w:space="0" w:color="auto"/>
              <w:bottom w:val="single" w:sz="4" w:space="0" w:color="auto"/>
              <w:right w:val="single" w:sz="6" w:space="0" w:color="auto"/>
            </w:tcBorders>
          </w:tcPr>
          <w:p w14:paraId="5E2A8B5E" w14:textId="77777777" w:rsidR="0005338E" w:rsidRPr="0096013C" w:rsidRDefault="0005338E" w:rsidP="00273B45">
            <w:pPr>
              <w:autoSpaceDE w:val="0"/>
              <w:autoSpaceDN w:val="0"/>
              <w:adjustRightInd w:val="0"/>
              <w:spacing w:line="240" w:lineRule="auto"/>
              <w:rPr>
                <w:rFonts w:ascii="Times New Roman" w:hAnsi="Times New Roman" w:cs="Times New Roman"/>
                <w:b/>
                <w:sz w:val="24"/>
                <w:szCs w:val="24"/>
              </w:rPr>
            </w:pPr>
          </w:p>
          <w:p w14:paraId="21317FA0" w14:textId="77777777" w:rsidR="0005338E" w:rsidRPr="00F4424E" w:rsidRDefault="0005338E" w:rsidP="00273B45">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Параметр</w:t>
            </w:r>
          </w:p>
        </w:tc>
        <w:tc>
          <w:tcPr>
            <w:tcW w:w="2693" w:type="dxa"/>
            <w:tcBorders>
              <w:top w:val="single" w:sz="4" w:space="0" w:color="auto"/>
              <w:left w:val="single" w:sz="6" w:space="0" w:color="auto"/>
              <w:bottom w:val="single" w:sz="6" w:space="0" w:color="auto"/>
              <w:right w:val="single" w:sz="4" w:space="0" w:color="auto"/>
            </w:tcBorders>
            <w:hideMark/>
          </w:tcPr>
          <w:p w14:paraId="02F9D4E0" w14:textId="77777777" w:rsidR="0005338E" w:rsidRDefault="0005338E" w:rsidP="00273B45">
            <w:pPr>
              <w:autoSpaceDE w:val="0"/>
              <w:autoSpaceDN w:val="0"/>
              <w:adjustRightInd w:val="0"/>
              <w:spacing w:line="240" w:lineRule="auto"/>
              <w:rPr>
                <w:rFonts w:ascii="Times New Roman" w:hAnsi="Times New Roman" w:cs="Times New Roman"/>
                <w:b/>
                <w:sz w:val="24"/>
                <w:szCs w:val="24"/>
              </w:rPr>
            </w:pPr>
          </w:p>
          <w:p w14:paraId="45684E3F" w14:textId="77777777" w:rsidR="0005338E" w:rsidRPr="00F4424E" w:rsidRDefault="0005338E" w:rsidP="00273B45">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З</w:t>
            </w:r>
            <w:r w:rsidRPr="00F4424E">
              <w:rPr>
                <w:rFonts w:ascii="Times New Roman" w:hAnsi="Times New Roman" w:cs="Times New Roman"/>
                <w:b/>
                <w:sz w:val="24"/>
                <w:szCs w:val="24"/>
              </w:rPr>
              <w:t>начение</w:t>
            </w:r>
          </w:p>
        </w:tc>
      </w:tr>
      <w:tr w:rsidR="0005338E" w:rsidRPr="00F4424E" w14:paraId="53B50DC0" w14:textId="77777777" w:rsidTr="00273B45">
        <w:trPr>
          <w:trHeight w:val="20"/>
        </w:trPr>
        <w:tc>
          <w:tcPr>
            <w:tcW w:w="4957" w:type="dxa"/>
            <w:gridSpan w:val="3"/>
            <w:tcBorders>
              <w:top w:val="single" w:sz="4" w:space="0" w:color="auto"/>
              <w:left w:val="single" w:sz="4" w:space="0" w:color="auto"/>
              <w:bottom w:val="single" w:sz="4" w:space="0" w:color="auto"/>
              <w:right w:val="single" w:sz="6" w:space="0" w:color="auto"/>
            </w:tcBorders>
            <w:hideMark/>
          </w:tcPr>
          <w:p w14:paraId="72F2912A" w14:textId="77777777" w:rsidR="0005338E" w:rsidRPr="00F4424E" w:rsidRDefault="0005338E" w:rsidP="00273B45">
            <w:pPr>
              <w:autoSpaceDE w:val="0"/>
              <w:autoSpaceDN w:val="0"/>
              <w:adjustRightInd w:val="0"/>
              <w:spacing w:line="240" w:lineRule="auto"/>
              <w:rPr>
                <w:rFonts w:ascii="Times New Roman" w:hAnsi="Times New Roman" w:cs="Times New Roman"/>
                <w:sz w:val="24"/>
                <w:szCs w:val="24"/>
              </w:rPr>
            </w:pPr>
            <w:r w:rsidRPr="00F4424E">
              <w:rPr>
                <w:rFonts w:ascii="Times New Roman" w:hAnsi="Times New Roman" w:cs="Times New Roman"/>
                <w:sz w:val="24"/>
                <w:szCs w:val="24"/>
              </w:rPr>
              <w:t>Возраст (годы)</w:t>
            </w:r>
          </w:p>
        </w:tc>
        <w:tc>
          <w:tcPr>
            <w:tcW w:w="2693" w:type="dxa"/>
            <w:tcBorders>
              <w:top w:val="single" w:sz="6" w:space="0" w:color="auto"/>
              <w:left w:val="single" w:sz="6" w:space="0" w:color="auto"/>
              <w:bottom w:val="single" w:sz="6" w:space="0" w:color="auto"/>
              <w:right w:val="single" w:sz="4" w:space="0" w:color="auto"/>
            </w:tcBorders>
            <w:hideMark/>
          </w:tcPr>
          <w:p w14:paraId="5EB7FEC1"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highlight w:val="cyan"/>
              </w:rPr>
            </w:pPr>
            <w:r w:rsidRPr="00F4424E">
              <w:rPr>
                <w:rFonts w:ascii="Times New Roman" w:hAnsi="Times New Roman" w:cs="Times New Roman"/>
                <w:sz w:val="24"/>
                <w:szCs w:val="24"/>
              </w:rPr>
              <w:t>75±8</w:t>
            </w:r>
          </w:p>
        </w:tc>
      </w:tr>
      <w:tr w:rsidR="0005338E" w:rsidRPr="00F4424E" w14:paraId="03509C3C" w14:textId="77777777" w:rsidTr="00273B45">
        <w:trPr>
          <w:trHeight w:val="20"/>
        </w:trPr>
        <w:tc>
          <w:tcPr>
            <w:tcW w:w="4957" w:type="dxa"/>
            <w:gridSpan w:val="3"/>
            <w:tcBorders>
              <w:top w:val="single" w:sz="4" w:space="0" w:color="auto"/>
              <w:left w:val="single" w:sz="4" w:space="0" w:color="auto"/>
              <w:bottom w:val="single" w:sz="6" w:space="0" w:color="auto"/>
              <w:right w:val="single" w:sz="6" w:space="0" w:color="auto"/>
            </w:tcBorders>
          </w:tcPr>
          <w:p w14:paraId="63DD5E35" w14:textId="77777777" w:rsidR="0005338E" w:rsidRPr="00F4424E" w:rsidRDefault="0005338E" w:rsidP="00273B4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Пол (мужской/женский),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w:t>
            </w:r>
          </w:p>
        </w:tc>
        <w:tc>
          <w:tcPr>
            <w:tcW w:w="2693" w:type="dxa"/>
            <w:tcBorders>
              <w:top w:val="single" w:sz="6" w:space="0" w:color="auto"/>
              <w:left w:val="single" w:sz="6" w:space="0" w:color="auto"/>
              <w:bottom w:val="single" w:sz="6" w:space="0" w:color="auto"/>
              <w:right w:val="single" w:sz="4" w:space="0" w:color="auto"/>
            </w:tcBorders>
          </w:tcPr>
          <w:p w14:paraId="3E7400D4"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rPr>
            </w:pPr>
            <w:r w:rsidRPr="00F4424E">
              <w:rPr>
                <w:rFonts w:ascii="Times New Roman" w:hAnsi="Times New Roman" w:cs="Times New Roman"/>
                <w:sz w:val="24"/>
                <w:szCs w:val="24"/>
              </w:rPr>
              <w:t>134</w:t>
            </w:r>
            <w:r>
              <w:rPr>
                <w:rFonts w:ascii="Times New Roman" w:hAnsi="Times New Roman" w:cs="Times New Roman"/>
                <w:sz w:val="24"/>
                <w:szCs w:val="24"/>
              </w:rPr>
              <w:t>/170</w:t>
            </w:r>
            <w:r w:rsidRPr="00F4424E">
              <w:rPr>
                <w:rFonts w:ascii="Times New Roman" w:hAnsi="Times New Roman" w:cs="Times New Roman"/>
                <w:sz w:val="24"/>
                <w:szCs w:val="24"/>
              </w:rPr>
              <w:t xml:space="preserve"> (44,1 %</w:t>
            </w:r>
            <w:r>
              <w:rPr>
                <w:rFonts w:ascii="Times New Roman" w:hAnsi="Times New Roman" w:cs="Times New Roman"/>
                <w:sz w:val="24"/>
                <w:szCs w:val="24"/>
              </w:rPr>
              <w:t>/55,9 %</w:t>
            </w:r>
            <w:r w:rsidRPr="00F4424E">
              <w:rPr>
                <w:rFonts w:ascii="Times New Roman" w:hAnsi="Times New Roman" w:cs="Times New Roman"/>
                <w:sz w:val="24"/>
                <w:szCs w:val="24"/>
              </w:rPr>
              <w:t>)</w:t>
            </w:r>
          </w:p>
        </w:tc>
      </w:tr>
      <w:tr w:rsidR="0005338E" w:rsidRPr="00F4424E" w14:paraId="21ED8DC9" w14:textId="77777777" w:rsidTr="00273B45">
        <w:trPr>
          <w:trHeight w:val="20"/>
        </w:trPr>
        <w:tc>
          <w:tcPr>
            <w:tcW w:w="4957" w:type="dxa"/>
            <w:gridSpan w:val="3"/>
            <w:tcBorders>
              <w:top w:val="single" w:sz="4" w:space="0" w:color="auto"/>
              <w:left w:val="single" w:sz="4" w:space="0" w:color="auto"/>
              <w:bottom w:val="single" w:sz="6" w:space="0" w:color="auto"/>
              <w:right w:val="single" w:sz="6" w:space="0" w:color="auto"/>
            </w:tcBorders>
          </w:tcPr>
          <w:p w14:paraId="46866DC2" w14:textId="77777777" w:rsidR="0005338E" w:rsidRPr="00F4424E" w:rsidRDefault="0005338E" w:rsidP="00273B45">
            <w:pPr>
              <w:autoSpaceDE w:val="0"/>
              <w:autoSpaceDN w:val="0"/>
              <w:adjustRightInd w:val="0"/>
              <w:spacing w:line="240" w:lineRule="auto"/>
              <w:rPr>
                <w:rFonts w:ascii="Times New Roman" w:hAnsi="Times New Roman" w:cs="Times New Roman"/>
                <w:sz w:val="24"/>
                <w:szCs w:val="24"/>
              </w:rPr>
            </w:pPr>
            <w:r w:rsidRPr="00F4424E">
              <w:rPr>
                <w:rFonts w:ascii="Times New Roman" w:hAnsi="Times New Roman" w:cs="Times New Roman"/>
                <w:sz w:val="24"/>
                <w:szCs w:val="24"/>
              </w:rPr>
              <w:t>ОНМК/</w:t>
            </w:r>
            <w:r>
              <w:rPr>
                <w:rFonts w:ascii="Times New Roman" w:hAnsi="Times New Roman" w:cs="Times New Roman"/>
                <w:sz w:val="24"/>
                <w:szCs w:val="24"/>
              </w:rPr>
              <w:t xml:space="preserve">системные эмболии,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w:t>
            </w:r>
          </w:p>
        </w:tc>
        <w:tc>
          <w:tcPr>
            <w:tcW w:w="2693" w:type="dxa"/>
            <w:tcBorders>
              <w:top w:val="single" w:sz="6" w:space="0" w:color="auto"/>
              <w:left w:val="single" w:sz="6" w:space="0" w:color="auto"/>
              <w:bottom w:val="single" w:sz="6" w:space="0" w:color="auto"/>
              <w:right w:val="single" w:sz="4" w:space="0" w:color="auto"/>
            </w:tcBorders>
          </w:tcPr>
          <w:p w14:paraId="2E2D7BA7"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rPr>
            </w:pPr>
            <w:r w:rsidRPr="00F4424E">
              <w:rPr>
                <w:rFonts w:ascii="Times New Roman" w:hAnsi="Times New Roman" w:cs="Times New Roman"/>
                <w:sz w:val="24"/>
                <w:szCs w:val="24"/>
              </w:rPr>
              <w:t>29 (9,5 %)</w:t>
            </w:r>
          </w:p>
        </w:tc>
      </w:tr>
      <w:tr w:rsidR="0005338E" w:rsidRPr="00F4424E" w14:paraId="2C39647A" w14:textId="77777777" w:rsidTr="00273B45">
        <w:trPr>
          <w:trHeight w:val="20"/>
        </w:trPr>
        <w:tc>
          <w:tcPr>
            <w:tcW w:w="4957" w:type="dxa"/>
            <w:gridSpan w:val="3"/>
            <w:tcBorders>
              <w:top w:val="single" w:sz="6" w:space="0" w:color="auto"/>
              <w:left w:val="single" w:sz="4" w:space="0" w:color="auto"/>
              <w:bottom w:val="single" w:sz="4" w:space="0" w:color="auto"/>
              <w:right w:val="single" w:sz="6" w:space="0" w:color="auto"/>
            </w:tcBorders>
            <w:hideMark/>
          </w:tcPr>
          <w:p w14:paraId="316522E0" w14:textId="77777777" w:rsidR="0005338E" w:rsidRPr="00F4424E" w:rsidRDefault="0005338E" w:rsidP="00273B4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Гипертоническая болезнь,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w:t>
            </w:r>
          </w:p>
        </w:tc>
        <w:tc>
          <w:tcPr>
            <w:tcW w:w="2693" w:type="dxa"/>
            <w:tcBorders>
              <w:top w:val="single" w:sz="6" w:space="0" w:color="auto"/>
              <w:left w:val="single" w:sz="6" w:space="0" w:color="auto"/>
              <w:bottom w:val="single" w:sz="6" w:space="0" w:color="auto"/>
              <w:right w:val="single" w:sz="4" w:space="0" w:color="auto"/>
            </w:tcBorders>
            <w:hideMark/>
          </w:tcPr>
          <w:p w14:paraId="0FF7B076"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rPr>
            </w:pPr>
            <w:r w:rsidRPr="00F4424E">
              <w:rPr>
                <w:rFonts w:ascii="Times New Roman" w:hAnsi="Times New Roman" w:cs="Times New Roman"/>
                <w:sz w:val="24"/>
                <w:szCs w:val="24"/>
              </w:rPr>
              <w:t>285 (93,8 %)</w:t>
            </w:r>
          </w:p>
        </w:tc>
      </w:tr>
      <w:tr w:rsidR="0005338E" w:rsidRPr="00F4424E" w14:paraId="184C6864" w14:textId="77777777" w:rsidTr="00273B45">
        <w:trPr>
          <w:trHeight w:val="20"/>
        </w:trPr>
        <w:tc>
          <w:tcPr>
            <w:tcW w:w="4957" w:type="dxa"/>
            <w:gridSpan w:val="3"/>
            <w:tcBorders>
              <w:top w:val="single" w:sz="4" w:space="0" w:color="auto"/>
              <w:left w:val="single" w:sz="4" w:space="0" w:color="auto"/>
              <w:bottom w:val="single" w:sz="4" w:space="0" w:color="auto"/>
              <w:right w:val="single" w:sz="6" w:space="0" w:color="auto"/>
            </w:tcBorders>
            <w:hideMark/>
          </w:tcPr>
          <w:p w14:paraId="30D06C58" w14:textId="77777777" w:rsidR="0005338E" w:rsidRPr="00F4424E" w:rsidRDefault="0005338E" w:rsidP="00273B4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Ишемическая болезнь сердца,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w:t>
            </w:r>
          </w:p>
        </w:tc>
        <w:tc>
          <w:tcPr>
            <w:tcW w:w="2693" w:type="dxa"/>
            <w:tcBorders>
              <w:top w:val="single" w:sz="6" w:space="0" w:color="auto"/>
              <w:left w:val="single" w:sz="6" w:space="0" w:color="auto"/>
              <w:bottom w:val="single" w:sz="6" w:space="0" w:color="auto"/>
              <w:right w:val="single" w:sz="4" w:space="0" w:color="auto"/>
            </w:tcBorders>
            <w:hideMark/>
          </w:tcPr>
          <w:p w14:paraId="46D94582"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rPr>
            </w:pPr>
            <w:r w:rsidRPr="00F4424E">
              <w:rPr>
                <w:rFonts w:ascii="Times New Roman" w:hAnsi="Times New Roman" w:cs="Times New Roman"/>
                <w:sz w:val="24"/>
                <w:szCs w:val="24"/>
              </w:rPr>
              <w:t>119 (39,1 %)</w:t>
            </w:r>
          </w:p>
        </w:tc>
      </w:tr>
      <w:tr w:rsidR="0005338E" w:rsidRPr="00F4424E" w14:paraId="51A93838" w14:textId="77777777" w:rsidTr="00273B45">
        <w:trPr>
          <w:trHeight w:val="20"/>
        </w:trPr>
        <w:tc>
          <w:tcPr>
            <w:tcW w:w="4957" w:type="dxa"/>
            <w:gridSpan w:val="3"/>
            <w:tcBorders>
              <w:top w:val="single" w:sz="4" w:space="0" w:color="auto"/>
              <w:left w:val="single" w:sz="4" w:space="0" w:color="auto"/>
              <w:bottom w:val="single" w:sz="4" w:space="0" w:color="auto"/>
              <w:right w:val="single" w:sz="6" w:space="0" w:color="auto"/>
            </w:tcBorders>
            <w:hideMark/>
          </w:tcPr>
          <w:p w14:paraId="464D87D7" w14:textId="77777777" w:rsidR="0005338E" w:rsidRPr="00F4424E" w:rsidRDefault="0005338E" w:rsidP="00273B45">
            <w:pPr>
              <w:autoSpaceDE w:val="0"/>
              <w:autoSpaceDN w:val="0"/>
              <w:adjustRightInd w:val="0"/>
              <w:spacing w:line="240" w:lineRule="auto"/>
              <w:rPr>
                <w:rFonts w:ascii="Times New Roman" w:hAnsi="Times New Roman" w:cs="Times New Roman"/>
                <w:sz w:val="24"/>
                <w:szCs w:val="24"/>
              </w:rPr>
            </w:pPr>
            <w:r w:rsidRPr="00F4424E">
              <w:rPr>
                <w:rFonts w:ascii="Times New Roman" w:hAnsi="Times New Roman" w:cs="Times New Roman"/>
                <w:sz w:val="24"/>
                <w:szCs w:val="24"/>
              </w:rPr>
              <w:t>Перенесенный инфаркт миокарда</w:t>
            </w:r>
            <w:r>
              <w:rPr>
                <w:rFonts w:ascii="Times New Roman" w:hAnsi="Times New Roman" w:cs="Times New Roman"/>
                <w:sz w:val="24"/>
                <w:szCs w:val="24"/>
              </w:rPr>
              <w:t xml:space="preserve">,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w:t>
            </w:r>
          </w:p>
        </w:tc>
        <w:tc>
          <w:tcPr>
            <w:tcW w:w="2693" w:type="dxa"/>
            <w:tcBorders>
              <w:top w:val="single" w:sz="6" w:space="0" w:color="auto"/>
              <w:left w:val="single" w:sz="6" w:space="0" w:color="auto"/>
              <w:bottom w:val="single" w:sz="6" w:space="0" w:color="auto"/>
              <w:right w:val="single" w:sz="4" w:space="0" w:color="auto"/>
            </w:tcBorders>
            <w:hideMark/>
          </w:tcPr>
          <w:p w14:paraId="27610FD5"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rPr>
            </w:pPr>
            <w:r w:rsidRPr="00F4424E">
              <w:rPr>
                <w:rFonts w:ascii="Times New Roman" w:hAnsi="Times New Roman" w:cs="Times New Roman"/>
                <w:sz w:val="24"/>
                <w:szCs w:val="24"/>
              </w:rPr>
              <w:t>62 (20,4 %)</w:t>
            </w:r>
          </w:p>
        </w:tc>
      </w:tr>
      <w:tr w:rsidR="0005338E" w:rsidRPr="00F4424E" w14:paraId="64A881CE" w14:textId="77777777" w:rsidTr="00273B45">
        <w:trPr>
          <w:trHeight w:val="428"/>
        </w:trPr>
        <w:tc>
          <w:tcPr>
            <w:tcW w:w="846" w:type="dxa"/>
            <w:vMerge w:val="restart"/>
            <w:tcBorders>
              <w:top w:val="single" w:sz="4" w:space="0" w:color="auto"/>
              <w:left w:val="single" w:sz="4" w:space="0" w:color="auto"/>
              <w:right w:val="single" w:sz="4" w:space="0" w:color="auto"/>
            </w:tcBorders>
            <w:hideMark/>
          </w:tcPr>
          <w:p w14:paraId="63DE8E04" w14:textId="77777777" w:rsidR="0005338E" w:rsidRDefault="0005338E" w:rsidP="00273B45">
            <w:pPr>
              <w:autoSpaceDE w:val="0"/>
              <w:autoSpaceDN w:val="0"/>
              <w:adjustRightInd w:val="0"/>
              <w:spacing w:line="240" w:lineRule="auto"/>
              <w:rPr>
                <w:rFonts w:ascii="Times New Roman" w:hAnsi="Times New Roman" w:cs="Times New Roman"/>
                <w:sz w:val="24"/>
                <w:szCs w:val="24"/>
              </w:rPr>
            </w:pPr>
          </w:p>
          <w:p w14:paraId="6BFB08D7" w14:textId="77777777" w:rsidR="0005338E" w:rsidRDefault="0005338E" w:rsidP="00273B45">
            <w:pPr>
              <w:autoSpaceDE w:val="0"/>
              <w:autoSpaceDN w:val="0"/>
              <w:adjustRightInd w:val="0"/>
              <w:spacing w:line="240" w:lineRule="auto"/>
              <w:rPr>
                <w:rFonts w:ascii="Times New Roman" w:hAnsi="Times New Roman" w:cs="Times New Roman"/>
                <w:sz w:val="24"/>
                <w:szCs w:val="24"/>
              </w:rPr>
            </w:pPr>
          </w:p>
          <w:p w14:paraId="188F14B2" w14:textId="77777777" w:rsidR="0005338E" w:rsidRDefault="0005338E" w:rsidP="00273B45">
            <w:pPr>
              <w:autoSpaceDE w:val="0"/>
              <w:autoSpaceDN w:val="0"/>
              <w:adjustRightInd w:val="0"/>
              <w:spacing w:line="240" w:lineRule="auto"/>
              <w:rPr>
                <w:rFonts w:ascii="Times New Roman" w:hAnsi="Times New Roman" w:cs="Times New Roman"/>
                <w:sz w:val="24"/>
                <w:szCs w:val="24"/>
              </w:rPr>
            </w:pPr>
          </w:p>
          <w:p w14:paraId="4419BC6B" w14:textId="77777777" w:rsidR="0005338E" w:rsidRDefault="0005338E" w:rsidP="00273B45">
            <w:pPr>
              <w:autoSpaceDE w:val="0"/>
              <w:autoSpaceDN w:val="0"/>
              <w:adjustRightInd w:val="0"/>
              <w:spacing w:line="240" w:lineRule="auto"/>
              <w:rPr>
                <w:rFonts w:ascii="Times New Roman" w:hAnsi="Times New Roman" w:cs="Times New Roman"/>
                <w:sz w:val="24"/>
                <w:szCs w:val="24"/>
              </w:rPr>
            </w:pPr>
            <w:r w:rsidRPr="00F4424E">
              <w:rPr>
                <w:rFonts w:ascii="Times New Roman" w:hAnsi="Times New Roman" w:cs="Times New Roman"/>
                <w:sz w:val="24"/>
                <w:szCs w:val="24"/>
              </w:rPr>
              <w:t>ХСН</w:t>
            </w:r>
          </w:p>
          <w:p w14:paraId="2A5E20DA" w14:textId="77777777" w:rsidR="0005338E" w:rsidRDefault="0005338E" w:rsidP="00273B45">
            <w:pPr>
              <w:autoSpaceDE w:val="0"/>
              <w:autoSpaceDN w:val="0"/>
              <w:adjustRightInd w:val="0"/>
              <w:spacing w:line="240" w:lineRule="auto"/>
              <w:rPr>
                <w:rFonts w:ascii="Times New Roman" w:hAnsi="Times New Roman" w:cs="Times New Roman"/>
                <w:sz w:val="24"/>
                <w:szCs w:val="24"/>
              </w:rPr>
            </w:pPr>
          </w:p>
          <w:p w14:paraId="781F05B6" w14:textId="77777777" w:rsidR="0005338E" w:rsidRPr="00F4424E" w:rsidRDefault="0005338E" w:rsidP="00273B45">
            <w:pPr>
              <w:autoSpaceDE w:val="0"/>
              <w:autoSpaceDN w:val="0"/>
              <w:adjustRightInd w:val="0"/>
              <w:spacing w:line="240" w:lineRule="auto"/>
              <w:rPr>
                <w:rFonts w:ascii="Times New Roman" w:hAnsi="Times New Roman" w:cs="Times New Roman"/>
                <w:sz w:val="24"/>
                <w:szCs w:val="24"/>
              </w:rPr>
            </w:pPr>
          </w:p>
        </w:tc>
        <w:tc>
          <w:tcPr>
            <w:tcW w:w="4111" w:type="dxa"/>
            <w:gridSpan w:val="2"/>
            <w:tcBorders>
              <w:top w:val="single" w:sz="4" w:space="0" w:color="auto"/>
              <w:left w:val="single" w:sz="4" w:space="0" w:color="auto"/>
              <w:bottom w:val="single" w:sz="4" w:space="0" w:color="auto"/>
              <w:right w:val="single" w:sz="6" w:space="0" w:color="auto"/>
            </w:tcBorders>
          </w:tcPr>
          <w:p w14:paraId="592B1200" w14:textId="77777777" w:rsidR="0005338E" w:rsidRDefault="0005338E" w:rsidP="00273B45">
            <w:pPr>
              <w:autoSpaceDE w:val="0"/>
              <w:autoSpaceDN w:val="0"/>
              <w:adjustRightInd w:val="0"/>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w:t>
            </w:r>
          </w:p>
          <w:p w14:paraId="645E5FA4" w14:textId="77777777" w:rsidR="0005338E" w:rsidRPr="00F4424E" w:rsidRDefault="0005338E" w:rsidP="00273B45">
            <w:pPr>
              <w:autoSpaceDE w:val="0"/>
              <w:autoSpaceDN w:val="0"/>
              <w:adjustRightInd w:val="0"/>
              <w:spacing w:after="0" w:line="240" w:lineRule="auto"/>
              <w:rPr>
                <w:rFonts w:ascii="Times New Roman" w:hAnsi="Times New Roman" w:cs="Times New Roman"/>
                <w:sz w:val="24"/>
                <w:szCs w:val="24"/>
              </w:rPr>
            </w:pPr>
          </w:p>
        </w:tc>
        <w:tc>
          <w:tcPr>
            <w:tcW w:w="2693" w:type="dxa"/>
            <w:tcBorders>
              <w:top w:val="single" w:sz="6" w:space="0" w:color="auto"/>
              <w:left w:val="single" w:sz="6" w:space="0" w:color="auto"/>
              <w:bottom w:val="single" w:sz="4" w:space="0" w:color="auto"/>
              <w:right w:val="single" w:sz="4" w:space="0" w:color="auto"/>
            </w:tcBorders>
            <w:hideMark/>
          </w:tcPr>
          <w:p w14:paraId="13880806"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rPr>
            </w:pPr>
            <w:r w:rsidRPr="00F4424E">
              <w:rPr>
                <w:rFonts w:ascii="Times New Roman" w:hAnsi="Times New Roman" w:cs="Times New Roman"/>
                <w:sz w:val="24"/>
                <w:szCs w:val="24"/>
              </w:rPr>
              <w:t>70 (23 %)</w:t>
            </w:r>
          </w:p>
        </w:tc>
      </w:tr>
      <w:tr w:rsidR="0005338E" w:rsidRPr="00F4424E" w14:paraId="1C11B1F7" w14:textId="77777777" w:rsidTr="00273B45">
        <w:trPr>
          <w:trHeight w:val="564"/>
        </w:trPr>
        <w:tc>
          <w:tcPr>
            <w:tcW w:w="846" w:type="dxa"/>
            <w:vMerge/>
            <w:tcBorders>
              <w:left w:val="single" w:sz="4" w:space="0" w:color="auto"/>
              <w:right w:val="single" w:sz="4" w:space="0" w:color="auto"/>
            </w:tcBorders>
          </w:tcPr>
          <w:p w14:paraId="2F889B72" w14:textId="77777777" w:rsidR="0005338E" w:rsidRPr="00F4424E" w:rsidRDefault="0005338E" w:rsidP="00273B45">
            <w:pPr>
              <w:autoSpaceDE w:val="0"/>
              <w:autoSpaceDN w:val="0"/>
              <w:adjustRightInd w:val="0"/>
              <w:spacing w:line="240" w:lineRule="auto"/>
              <w:rPr>
                <w:rFonts w:ascii="Times New Roman" w:hAnsi="Times New Roman" w:cs="Times New Roman"/>
                <w:sz w:val="24"/>
                <w:szCs w:val="24"/>
              </w:rPr>
            </w:pPr>
          </w:p>
        </w:tc>
        <w:tc>
          <w:tcPr>
            <w:tcW w:w="1984" w:type="dxa"/>
            <w:vMerge w:val="restart"/>
            <w:tcBorders>
              <w:top w:val="single" w:sz="4" w:space="0" w:color="auto"/>
              <w:left w:val="single" w:sz="4" w:space="0" w:color="auto"/>
              <w:right w:val="single" w:sz="4" w:space="0" w:color="auto"/>
            </w:tcBorders>
          </w:tcPr>
          <w:p w14:paraId="26C03590" w14:textId="77777777" w:rsidR="0005338E" w:rsidRPr="008E4276" w:rsidRDefault="0005338E" w:rsidP="00273B45">
            <w:pPr>
              <w:autoSpaceDE w:val="0"/>
              <w:autoSpaceDN w:val="0"/>
              <w:adjustRightInd w:val="0"/>
              <w:spacing w:line="240" w:lineRule="auto"/>
              <w:rPr>
                <w:rFonts w:ascii="Times New Roman" w:hAnsi="Times New Roman" w:cs="Times New Roman"/>
              </w:rPr>
            </w:pPr>
            <w:r w:rsidRPr="008E4276">
              <w:rPr>
                <w:rFonts w:ascii="Times New Roman" w:hAnsi="Times New Roman" w:cs="Times New Roman"/>
              </w:rPr>
              <w:t xml:space="preserve">Функциональный класс по </w:t>
            </w:r>
            <w:r w:rsidRPr="008E4276">
              <w:rPr>
                <w:rFonts w:ascii="Times New Roman" w:hAnsi="Times New Roman" w:cs="Times New Roman"/>
                <w:lang w:val="en-US"/>
              </w:rPr>
              <w:t>NYHA</w:t>
            </w:r>
          </w:p>
          <w:p w14:paraId="36D3A44A" w14:textId="77777777" w:rsidR="0005338E" w:rsidRDefault="0005338E" w:rsidP="00273B45">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6" w:space="0" w:color="auto"/>
            </w:tcBorders>
          </w:tcPr>
          <w:p w14:paraId="70526F97" w14:textId="77777777" w:rsidR="0005338E" w:rsidRPr="00D04EB1" w:rsidRDefault="0005338E" w:rsidP="00273B45">
            <w:pPr>
              <w:autoSpaceDE w:val="0"/>
              <w:autoSpaceDN w:val="0"/>
              <w:adjustRightInd w:val="0"/>
              <w:spacing w:after="0" w:line="240" w:lineRule="auto"/>
              <w:rPr>
                <w:rFonts w:ascii="Times New Roman" w:hAnsi="Times New Roman" w:cs="Times New Roman"/>
                <w:sz w:val="24"/>
                <w:szCs w:val="24"/>
              </w:rPr>
            </w:pPr>
            <w:r w:rsidRPr="00D04EB1">
              <w:rPr>
                <w:rFonts w:ascii="Times New Roman" w:hAnsi="Times New Roman" w:cs="Times New Roman"/>
                <w:sz w:val="24"/>
                <w:szCs w:val="24"/>
                <w:lang w:val="en-US"/>
              </w:rPr>
              <w:t>I</w:t>
            </w:r>
            <w:r w:rsidRPr="00D04EB1">
              <w:rPr>
                <w:rFonts w:ascii="Times New Roman" w:hAnsi="Times New Roman" w:cs="Times New Roman"/>
                <w:sz w:val="24"/>
                <w:szCs w:val="24"/>
              </w:rPr>
              <w:t>-</w:t>
            </w:r>
            <w:r w:rsidRPr="00D04EB1">
              <w:rPr>
                <w:rFonts w:ascii="Times New Roman" w:hAnsi="Times New Roman" w:cs="Times New Roman"/>
                <w:sz w:val="24"/>
                <w:szCs w:val="24"/>
                <w:lang w:val="en-US"/>
              </w:rPr>
              <w:t>II</w:t>
            </w:r>
            <w:r w:rsidRPr="00D04EB1">
              <w:rPr>
                <w:rFonts w:ascii="Times New Roman" w:hAnsi="Times New Roman" w:cs="Times New Roman"/>
                <w:sz w:val="24"/>
                <w:szCs w:val="24"/>
              </w:rPr>
              <w:t xml:space="preserve">, </w:t>
            </w:r>
            <w:proofErr w:type="spellStart"/>
            <w:r w:rsidRPr="00D04EB1">
              <w:rPr>
                <w:rFonts w:ascii="Times New Roman" w:hAnsi="Times New Roman" w:cs="Times New Roman"/>
                <w:sz w:val="24"/>
                <w:szCs w:val="24"/>
              </w:rPr>
              <w:t>абс</w:t>
            </w:r>
            <w:proofErr w:type="spellEnd"/>
            <w:proofErr w:type="gramStart"/>
            <w:r w:rsidRPr="00D04EB1">
              <w:rPr>
                <w:rFonts w:ascii="Times New Roman" w:hAnsi="Times New Roman" w:cs="Times New Roman"/>
                <w:sz w:val="24"/>
                <w:szCs w:val="24"/>
              </w:rPr>
              <w:t>.(</w:t>
            </w:r>
            <w:proofErr w:type="gramEnd"/>
            <w:r w:rsidRPr="00D04EB1">
              <w:rPr>
                <w:rFonts w:ascii="Times New Roman" w:hAnsi="Times New Roman" w:cs="Times New Roman"/>
                <w:sz w:val="24"/>
                <w:szCs w:val="24"/>
              </w:rPr>
              <w:t>%)</w:t>
            </w:r>
          </w:p>
        </w:tc>
        <w:tc>
          <w:tcPr>
            <w:tcW w:w="2693" w:type="dxa"/>
            <w:tcBorders>
              <w:top w:val="single" w:sz="4" w:space="0" w:color="auto"/>
              <w:left w:val="single" w:sz="6" w:space="0" w:color="auto"/>
              <w:bottom w:val="single" w:sz="4" w:space="0" w:color="auto"/>
              <w:right w:val="single" w:sz="4" w:space="0" w:color="auto"/>
            </w:tcBorders>
          </w:tcPr>
          <w:p w14:paraId="258FE35A" w14:textId="77777777" w:rsidR="0005338E" w:rsidRPr="00F4424E" w:rsidRDefault="0005338E" w:rsidP="00273B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49 (70 %)</w:t>
            </w:r>
          </w:p>
        </w:tc>
      </w:tr>
      <w:tr w:rsidR="0005338E" w:rsidRPr="00F4424E" w14:paraId="442C1528" w14:textId="77777777" w:rsidTr="00273B45">
        <w:trPr>
          <w:trHeight w:val="405"/>
        </w:trPr>
        <w:tc>
          <w:tcPr>
            <w:tcW w:w="846" w:type="dxa"/>
            <w:vMerge/>
            <w:tcBorders>
              <w:left w:val="single" w:sz="4" w:space="0" w:color="auto"/>
              <w:bottom w:val="single" w:sz="4" w:space="0" w:color="auto"/>
              <w:right w:val="single" w:sz="4" w:space="0" w:color="auto"/>
            </w:tcBorders>
          </w:tcPr>
          <w:p w14:paraId="6DE50208" w14:textId="77777777" w:rsidR="0005338E" w:rsidRPr="00F4424E" w:rsidRDefault="0005338E" w:rsidP="00273B45">
            <w:pPr>
              <w:autoSpaceDE w:val="0"/>
              <w:autoSpaceDN w:val="0"/>
              <w:adjustRightInd w:val="0"/>
              <w:spacing w:line="240" w:lineRule="auto"/>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14:paraId="058BDAAE" w14:textId="77777777" w:rsidR="0005338E" w:rsidRDefault="0005338E" w:rsidP="00273B45">
            <w:pPr>
              <w:autoSpaceDE w:val="0"/>
              <w:autoSpaceDN w:val="0"/>
              <w:adjustRightInd w:val="0"/>
              <w:spacing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6" w:space="0" w:color="auto"/>
            </w:tcBorders>
          </w:tcPr>
          <w:p w14:paraId="6150FCBB" w14:textId="77777777" w:rsidR="0005338E" w:rsidRPr="00D04EB1" w:rsidRDefault="0005338E" w:rsidP="00273B45">
            <w:pPr>
              <w:autoSpaceDE w:val="0"/>
              <w:autoSpaceDN w:val="0"/>
              <w:adjustRightInd w:val="0"/>
              <w:spacing w:after="0" w:line="240" w:lineRule="auto"/>
              <w:rPr>
                <w:rFonts w:ascii="Times New Roman" w:hAnsi="Times New Roman" w:cs="Times New Roman"/>
                <w:sz w:val="24"/>
                <w:szCs w:val="24"/>
              </w:rPr>
            </w:pPr>
            <w:r w:rsidRPr="00D04EB1">
              <w:rPr>
                <w:rFonts w:ascii="Times New Roman" w:hAnsi="Times New Roman" w:cs="Times New Roman"/>
                <w:sz w:val="24"/>
                <w:szCs w:val="24"/>
                <w:lang w:val="en-US"/>
              </w:rPr>
              <w:t>III</w:t>
            </w:r>
            <w:r w:rsidRPr="00D04EB1">
              <w:rPr>
                <w:rFonts w:ascii="Times New Roman" w:hAnsi="Times New Roman" w:cs="Times New Roman"/>
                <w:sz w:val="24"/>
                <w:szCs w:val="24"/>
              </w:rPr>
              <w:t>-</w:t>
            </w:r>
            <w:r w:rsidRPr="00D04EB1">
              <w:rPr>
                <w:rFonts w:ascii="Times New Roman" w:hAnsi="Times New Roman" w:cs="Times New Roman"/>
                <w:sz w:val="24"/>
                <w:szCs w:val="24"/>
                <w:lang w:val="en-US"/>
              </w:rPr>
              <w:t>IV</w:t>
            </w:r>
            <w:r w:rsidRPr="00D04EB1">
              <w:rPr>
                <w:rFonts w:ascii="Times New Roman" w:hAnsi="Times New Roman" w:cs="Times New Roman"/>
                <w:sz w:val="24"/>
                <w:szCs w:val="24"/>
              </w:rPr>
              <w:t xml:space="preserve">, </w:t>
            </w:r>
            <w:proofErr w:type="spellStart"/>
            <w:r w:rsidRPr="00D04EB1">
              <w:rPr>
                <w:rFonts w:ascii="Times New Roman" w:hAnsi="Times New Roman" w:cs="Times New Roman"/>
                <w:sz w:val="24"/>
                <w:szCs w:val="24"/>
              </w:rPr>
              <w:t>абс</w:t>
            </w:r>
            <w:proofErr w:type="spellEnd"/>
            <w:r w:rsidRPr="00D04EB1">
              <w:rPr>
                <w:rFonts w:ascii="Times New Roman" w:hAnsi="Times New Roman" w:cs="Times New Roman"/>
                <w:sz w:val="24"/>
                <w:szCs w:val="24"/>
              </w:rPr>
              <w:t>. (%)</w:t>
            </w:r>
          </w:p>
        </w:tc>
        <w:tc>
          <w:tcPr>
            <w:tcW w:w="2693" w:type="dxa"/>
            <w:tcBorders>
              <w:top w:val="single" w:sz="4" w:space="0" w:color="auto"/>
              <w:left w:val="single" w:sz="6" w:space="0" w:color="auto"/>
              <w:bottom w:val="single" w:sz="6" w:space="0" w:color="auto"/>
              <w:right w:val="single" w:sz="4" w:space="0" w:color="auto"/>
            </w:tcBorders>
          </w:tcPr>
          <w:p w14:paraId="7AFC829F" w14:textId="77777777" w:rsidR="0005338E" w:rsidRPr="00F4424E" w:rsidRDefault="0005338E" w:rsidP="00273B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 (30 %)</w:t>
            </w:r>
          </w:p>
        </w:tc>
      </w:tr>
      <w:tr w:rsidR="0005338E" w:rsidRPr="00F4424E" w14:paraId="364514EE" w14:textId="77777777" w:rsidTr="00273B45">
        <w:trPr>
          <w:trHeight w:val="325"/>
        </w:trPr>
        <w:tc>
          <w:tcPr>
            <w:tcW w:w="2830" w:type="dxa"/>
            <w:gridSpan w:val="2"/>
            <w:vMerge w:val="restart"/>
            <w:tcBorders>
              <w:top w:val="single" w:sz="4" w:space="0" w:color="auto"/>
              <w:left w:val="single" w:sz="4" w:space="0" w:color="auto"/>
              <w:right w:val="single" w:sz="4" w:space="0" w:color="auto"/>
            </w:tcBorders>
          </w:tcPr>
          <w:p w14:paraId="6A34820F" w14:textId="77777777" w:rsidR="0005338E" w:rsidRDefault="0005338E" w:rsidP="00273B4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ФВ ЛЖ</w:t>
            </w:r>
          </w:p>
          <w:p w14:paraId="7B6E742E" w14:textId="77777777" w:rsidR="0005338E" w:rsidRPr="00F4424E" w:rsidRDefault="0005338E" w:rsidP="00273B45">
            <w:pPr>
              <w:autoSpaceDE w:val="0"/>
              <w:autoSpaceDN w:val="0"/>
              <w:adjustRightInd w:val="0"/>
              <w:spacing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6" w:space="0" w:color="auto"/>
            </w:tcBorders>
          </w:tcPr>
          <w:p w14:paraId="576BF6C8" w14:textId="77777777" w:rsidR="0005338E" w:rsidRPr="00772FF9" w:rsidRDefault="0005338E" w:rsidP="00273B4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&gt;</w:t>
            </w:r>
            <w:r>
              <w:rPr>
                <w:rFonts w:ascii="Times New Roman" w:hAnsi="Times New Roman" w:cs="Times New Roman"/>
                <w:sz w:val="24"/>
                <w:szCs w:val="24"/>
              </w:rPr>
              <w:t>40 %</w:t>
            </w:r>
          </w:p>
        </w:tc>
        <w:tc>
          <w:tcPr>
            <w:tcW w:w="2693" w:type="dxa"/>
            <w:tcBorders>
              <w:top w:val="single" w:sz="6" w:space="0" w:color="auto"/>
              <w:left w:val="single" w:sz="6" w:space="0" w:color="auto"/>
              <w:bottom w:val="single" w:sz="4" w:space="0" w:color="auto"/>
              <w:right w:val="single" w:sz="4" w:space="0" w:color="auto"/>
            </w:tcBorders>
          </w:tcPr>
          <w:p w14:paraId="63E72A0D"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226 (96,6 %)</w:t>
            </w:r>
          </w:p>
        </w:tc>
      </w:tr>
      <w:tr w:rsidR="0005338E" w:rsidRPr="00F4424E" w14:paraId="04F8A4A1" w14:textId="77777777" w:rsidTr="00273B45">
        <w:trPr>
          <w:trHeight w:val="237"/>
        </w:trPr>
        <w:tc>
          <w:tcPr>
            <w:tcW w:w="2830" w:type="dxa"/>
            <w:gridSpan w:val="2"/>
            <w:vMerge/>
            <w:tcBorders>
              <w:left w:val="single" w:sz="4" w:space="0" w:color="auto"/>
              <w:bottom w:val="single" w:sz="4" w:space="0" w:color="auto"/>
              <w:right w:val="single" w:sz="4" w:space="0" w:color="auto"/>
            </w:tcBorders>
          </w:tcPr>
          <w:p w14:paraId="1340D0FF" w14:textId="77777777" w:rsidR="0005338E" w:rsidRDefault="0005338E" w:rsidP="00273B45">
            <w:pPr>
              <w:autoSpaceDE w:val="0"/>
              <w:autoSpaceDN w:val="0"/>
              <w:adjustRightInd w:val="0"/>
              <w:spacing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6" w:space="0" w:color="auto"/>
            </w:tcBorders>
          </w:tcPr>
          <w:p w14:paraId="389E74A5" w14:textId="77777777" w:rsidR="0005338E" w:rsidRDefault="0005338E" w:rsidP="00273B4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≤40 %</w:t>
            </w:r>
          </w:p>
        </w:tc>
        <w:tc>
          <w:tcPr>
            <w:tcW w:w="2693" w:type="dxa"/>
            <w:tcBorders>
              <w:top w:val="single" w:sz="4" w:space="0" w:color="auto"/>
              <w:left w:val="single" w:sz="6" w:space="0" w:color="auto"/>
              <w:bottom w:val="single" w:sz="6" w:space="0" w:color="auto"/>
              <w:right w:val="single" w:sz="4" w:space="0" w:color="auto"/>
            </w:tcBorders>
          </w:tcPr>
          <w:p w14:paraId="31EDA5A6"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8 (3,4 %)</w:t>
            </w:r>
          </w:p>
        </w:tc>
      </w:tr>
      <w:tr w:rsidR="0005338E" w:rsidRPr="00F4424E" w14:paraId="614D39AE" w14:textId="77777777" w:rsidTr="00273B45">
        <w:trPr>
          <w:trHeight w:val="20"/>
        </w:trPr>
        <w:tc>
          <w:tcPr>
            <w:tcW w:w="4957" w:type="dxa"/>
            <w:gridSpan w:val="3"/>
            <w:tcBorders>
              <w:top w:val="single" w:sz="4" w:space="0" w:color="auto"/>
              <w:left w:val="single" w:sz="4" w:space="0" w:color="auto"/>
              <w:bottom w:val="single" w:sz="4" w:space="0" w:color="auto"/>
              <w:right w:val="single" w:sz="6" w:space="0" w:color="auto"/>
            </w:tcBorders>
          </w:tcPr>
          <w:p w14:paraId="51D0675D" w14:textId="77777777" w:rsidR="0005338E" w:rsidRPr="00F4424E" w:rsidRDefault="0005338E" w:rsidP="00273B4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Сахарный диабет</w:t>
            </w:r>
            <w:r w:rsidRPr="00F4424E">
              <w:rPr>
                <w:rFonts w:ascii="Times New Roman" w:hAnsi="Times New Roman" w:cs="Times New Roman"/>
                <w:sz w:val="24"/>
                <w:szCs w:val="24"/>
              </w:rPr>
              <w:t xml:space="preserve"> 2 типа</w:t>
            </w:r>
            <w:r>
              <w:rPr>
                <w:rFonts w:ascii="Times New Roman" w:hAnsi="Times New Roman" w:cs="Times New Roman"/>
                <w:sz w:val="24"/>
                <w:szCs w:val="24"/>
              </w:rPr>
              <w:t xml:space="preserve">,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w:t>
            </w:r>
          </w:p>
        </w:tc>
        <w:tc>
          <w:tcPr>
            <w:tcW w:w="2693" w:type="dxa"/>
            <w:tcBorders>
              <w:top w:val="single" w:sz="6" w:space="0" w:color="auto"/>
              <w:left w:val="single" w:sz="6" w:space="0" w:color="auto"/>
              <w:bottom w:val="single" w:sz="6" w:space="0" w:color="auto"/>
              <w:right w:val="single" w:sz="4" w:space="0" w:color="auto"/>
            </w:tcBorders>
          </w:tcPr>
          <w:p w14:paraId="431A4170"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highlight w:val="cyan"/>
              </w:rPr>
            </w:pPr>
            <w:r w:rsidRPr="00F4424E">
              <w:rPr>
                <w:rFonts w:ascii="Times New Roman" w:hAnsi="Times New Roman" w:cs="Times New Roman"/>
                <w:sz w:val="24"/>
                <w:szCs w:val="24"/>
              </w:rPr>
              <w:t>48 (15,8 %)</w:t>
            </w:r>
          </w:p>
        </w:tc>
      </w:tr>
      <w:tr w:rsidR="0005338E" w:rsidRPr="00F4424E" w14:paraId="12208649" w14:textId="77777777" w:rsidTr="00273B45">
        <w:trPr>
          <w:trHeight w:val="313"/>
        </w:trPr>
        <w:tc>
          <w:tcPr>
            <w:tcW w:w="2830" w:type="dxa"/>
            <w:gridSpan w:val="2"/>
            <w:vMerge w:val="restart"/>
            <w:tcBorders>
              <w:top w:val="single" w:sz="4" w:space="0" w:color="auto"/>
              <w:left w:val="single" w:sz="4" w:space="0" w:color="auto"/>
              <w:right w:val="single" w:sz="4" w:space="0" w:color="auto"/>
            </w:tcBorders>
          </w:tcPr>
          <w:p w14:paraId="6AAAB9CD" w14:textId="77777777" w:rsidR="0005338E" w:rsidRDefault="0005338E" w:rsidP="00273B4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Хроническая болезнь </w:t>
            </w:r>
            <w:r>
              <w:rPr>
                <w:rFonts w:ascii="Times New Roman" w:hAnsi="Times New Roman" w:cs="Times New Roman"/>
                <w:sz w:val="24"/>
                <w:szCs w:val="24"/>
              </w:rPr>
              <w:lastRenderedPageBreak/>
              <w:t>почек</w:t>
            </w:r>
          </w:p>
          <w:p w14:paraId="32A6D566" w14:textId="77777777" w:rsidR="0005338E" w:rsidRDefault="0005338E" w:rsidP="00273B45">
            <w:pPr>
              <w:autoSpaceDE w:val="0"/>
              <w:autoSpaceDN w:val="0"/>
              <w:adjustRightInd w:val="0"/>
              <w:spacing w:after="0" w:line="240" w:lineRule="auto"/>
              <w:ind w:firstLine="708"/>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6" w:space="0" w:color="auto"/>
            </w:tcBorders>
          </w:tcPr>
          <w:p w14:paraId="4555816C" w14:textId="77777777" w:rsidR="0005338E" w:rsidRDefault="0005338E" w:rsidP="00273B45">
            <w:pPr>
              <w:autoSpaceDE w:val="0"/>
              <w:autoSpaceDN w:val="0"/>
              <w:adjustRightInd w:val="0"/>
              <w:spacing w:after="0" w:line="240" w:lineRule="auto"/>
              <w:ind w:left="-104"/>
              <w:rPr>
                <w:rFonts w:ascii="Times New Roman" w:hAnsi="Times New Roman" w:cs="Times New Roman"/>
                <w:sz w:val="24"/>
                <w:szCs w:val="24"/>
              </w:rPr>
            </w:pPr>
            <w:proofErr w:type="spellStart"/>
            <w:r>
              <w:rPr>
                <w:rFonts w:ascii="Times New Roman" w:hAnsi="Times New Roman" w:cs="Times New Roman"/>
                <w:sz w:val="24"/>
                <w:szCs w:val="24"/>
              </w:rPr>
              <w:lastRenderedPageBreak/>
              <w:t>абс</w:t>
            </w:r>
            <w:proofErr w:type="spellEnd"/>
            <w:r>
              <w:rPr>
                <w:rFonts w:ascii="Times New Roman" w:hAnsi="Times New Roman" w:cs="Times New Roman"/>
                <w:sz w:val="24"/>
                <w:szCs w:val="24"/>
              </w:rPr>
              <w:t xml:space="preserve"> (%)</w:t>
            </w:r>
          </w:p>
        </w:tc>
        <w:tc>
          <w:tcPr>
            <w:tcW w:w="2693" w:type="dxa"/>
            <w:tcBorders>
              <w:top w:val="single" w:sz="6" w:space="0" w:color="auto"/>
              <w:left w:val="single" w:sz="6" w:space="0" w:color="auto"/>
              <w:bottom w:val="single" w:sz="4" w:space="0" w:color="auto"/>
              <w:right w:val="single" w:sz="4" w:space="0" w:color="auto"/>
            </w:tcBorders>
          </w:tcPr>
          <w:p w14:paraId="7C52DE21" w14:textId="77777777" w:rsidR="0005338E" w:rsidRDefault="0005338E" w:rsidP="00273B45">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236 (77,6 %)</w:t>
            </w:r>
          </w:p>
        </w:tc>
      </w:tr>
      <w:tr w:rsidR="0005338E" w:rsidRPr="00F4424E" w14:paraId="10A33484" w14:textId="77777777" w:rsidTr="00273B45">
        <w:trPr>
          <w:trHeight w:val="313"/>
        </w:trPr>
        <w:tc>
          <w:tcPr>
            <w:tcW w:w="2830" w:type="dxa"/>
            <w:gridSpan w:val="2"/>
            <w:vMerge/>
            <w:tcBorders>
              <w:left w:val="single" w:sz="4" w:space="0" w:color="auto"/>
              <w:right w:val="single" w:sz="4" w:space="0" w:color="auto"/>
            </w:tcBorders>
          </w:tcPr>
          <w:p w14:paraId="04CC6063" w14:textId="77777777" w:rsidR="0005338E" w:rsidRPr="00F4424E" w:rsidRDefault="0005338E" w:rsidP="00273B45">
            <w:pPr>
              <w:autoSpaceDE w:val="0"/>
              <w:autoSpaceDN w:val="0"/>
              <w:adjustRightInd w:val="0"/>
              <w:spacing w:line="240" w:lineRule="auto"/>
              <w:ind w:firstLine="708"/>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6" w:space="0" w:color="auto"/>
            </w:tcBorders>
          </w:tcPr>
          <w:p w14:paraId="2F9A5C7B" w14:textId="77777777" w:rsidR="0005338E" w:rsidRPr="00F4424E" w:rsidRDefault="0005338E" w:rsidP="00273B45">
            <w:pPr>
              <w:autoSpaceDE w:val="0"/>
              <w:autoSpaceDN w:val="0"/>
              <w:adjustRightInd w:val="0"/>
              <w:spacing w:after="0" w:line="240" w:lineRule="auto"/>
              <w:ind w:left="-104"/>
              <w:rPr>
                <w:rFonts w:ascii="Times New Roman" w:hAnsi="Times New Roman" w:cs="Times New Roman"/>
                <w:sz w:val="24"/>
                <w:szCs w:val="24"/>
              </w:rPr>
            </w:pPr>
            <w:r>
              <w:rPr>
                <w:rFonts w:ascii="Times New Roman" w:hAnsi="Times New Roman" w:cs="Times New Roman"/>
                <w:sz w:val="24"/>
                <w:szCs w:val="24"/>
              </w:rPr>
              <w:t xml:space="preserve">1-2 стадия,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w:t>
            </w:r>
          </w:p>
        </w:tc>
        <w:tc>
          <w:tcPr>
            <w:tcW w:w="2693" w:type="dxa"/>
            <w:tcBorders>
              <w:top w:val="single" w:sz="6" w:space="0" w:color="auto"/>
              <w:left w:val="single" w:sz="6" w:space="0" w:color="auto"/>
              <w:bottom w:val="single" w:sz="4" w:space="0" w:color="auto"/>
              <w:right w:val="single" w:sz="4" w:space="0" w:color="auto"/>
            </w:tcBorders>
          </w:tcPr>
          <w:p w14:paraId="4FDA9C18"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72 (30,5 %)</w:t>
            </w:r>
          </w:p>
        </w:tc>
      </w:tr>
      <w:tr w:rsidR="0005338E" w:rsidRPr="00F4424E" w14:paraId="6E42498F" w14:textId="77777777" w:rsidTr="00273B45">
        <w:trPr>
          <w:trHeight w:val="255"/>
        </w:trPr>
        <w:tc>
          <w:tcPr>
            <w:tcW w:w="2830" w:type="dxa"/>
            <w:gridSpan w:val="2"/>
            <w:vMerge/>
            <w:tcBorders>
              <w:left w:val="single" w:sz="4" w:space="0" w:color="auto"/>
              <w:bottom w:val="single" w:sz="4" w:space="0" w:color="auto"/>
              <w:right w:val="single" w:sz="4" w:space="0" w:color="auto"/>
            </w:tcBorders>
          </w:tcPr>
          <w:p w14:paraId="60225FBA" w14:textId="77777777" w:rsidR="0005338E" w:rsidRDefault="0005338E" w:rsidP="00273B45">
            <w:pPr>
              <w:autoSpaceDE w:val="0"/>
              <w:autoSpaceDN w:val="0"/>
              <w:adjustRightInd w:val="0"/>
              <w:spacing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6" w:space="0" w:color="auto"/>
            </w:tcBorders>
          </w:tcPr>
          <w:p w14:paraId="21BF501E" w14:textId="77777777" w:rsidR="0005338E" w:rsidRDefault="0005338E" w:rsidP="00273B45">
            <w:pPr>
              <w:autoSpaceDE w:val="0"/>
              <w:autoSpaceDN w:val="0"/>
              <w:adjustRightInd w:val="0"/>
              <w:spacing w:after="0" w:line="240" w:lineRule="auto"/>
              <w:ind w:left="-104"/>
              <w:rPr>
                <w:rFonts w:ascii="Times New Roman" w:hAnsi="Times New Roman" w:cs="Times New Roman"/>
                <w:sz w:val="24"/>
                <w:szCs w:val="24"/>
              </w:rPr>
            </w:pPr>
            <w:r>
              <w:rPr>
                <w:rFonts w:ascii="Times New Roman" w:hAnsi="Times New Roman" w:cs="Times New Roman"/>
                <w:sz w:val="24"/>
                <w:szCs w:val="24"/>
              </w:rPr>
              <w:t xml:space="preserve">3-4 стадия,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w:t>
            </w:r>
          </w:p>
        </w:tc>
        <w:tc>
          <w:tcPr>
            <w:tcW w:w="2693" w:type="dxa"/>
            <w:tcBorders>
              <w:top w:val="single" w:sz="4" w:space="0" w:color="auto"/>
              <w:left w:val="single" w:sz="6" w:space="0" w:color="auto"/>
              <w:bottom w:val="single" w:sz="6" w:space="0" w:color="auto"/>
              <w:right w:val="single" w:sz="4" w:space="0" w:color="auto"/>
            </w:tcBorders>
          </w:tcPr>
          <w:p w14:paraId="437157CE"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164 (69,5 %)</w:t>
            </w:r>
          </w:p>
        </w:tc>
      </w:tr>
      <w:tr w:rsidR="0005338E" w:rsidRPr="00F4424E" w14:paraId="25339A7B" w14:textId="77777777" w:rsidTr="00273B45">
        <w:trPr>
          <w:trHeight w:val="20"/>
        </w:trPr>
        <w:tc>
          <w:tcPr>
            <w:tcW w:w="4957" w:type="dxa"/>
            <w:gridSpan w:val="3"/>
            <w:tcBorders>
              <w:top w:val="single" w:sz="4" w:space="0" w:color="auto"/>
              <w:left w:val="single" w:sz="4" w:space="0" w:color="auto"/>
              <w:bottom w:val="single" w:sz="4" w:space="0" w:color="auto"/>
              <w:right w:val="single" w:sz="6" w:space="0" w:color="auto"/>
            </w:tcBorders>
            <w:hideMark/>
          </w:tcPr>
          <w:p w14:paraId="000CD6FC" w14:textId="77777777" w:rsidR="0005338E" w:rsidRPr="00F4424E" w:rsidRDefault="0005338E" w:rsidP="00273B45">
            <w:pPr>
              <w:tabs>
                <w:tab w:val="left" w:pos="1226"/>
              </w:tabs>
              <w:autoSpaceDE w:val="0"/>
              <w:autoSpaceDN w:val="0"/>
              <w:adjustRightInd w:val="0"/>
              <w:spacing w:line="240" w:lineRule="auto"/>
              <w:rPr>
                <w:rFonts w:ascii="Times New Roman" w:hAnsi="Times New Roman" w:cs="Times New Roman"/>
                <w:sz w:val="24"/>
                <w:szCs w:val="24"/>
              </w:rPr>
            </w:pPr>
            <w:r w:rsidRPr="00F4424E">
              <w:rPr>
                <w:rFonts w:ascii="Times New Roman" w:hAnsi="Times New Roman" w:cs="Times New Roman"/>
                <w:sz w:val="24"/>
                <w:szCs w:val="24"/>
              </w:rPr>
              <w:t>Курение</w:t>
            </w:r>
            <w:r>
              <w:rPr>
                <w:rFonts w:ascii="Times New Roman" w:hAnsi="Times New Roman" w:cs="Times New Roman"/>
                <w:sz w:val="24"/>
                <w:szCs w:val="24"/>
              </w:rPr>
              <w:t xml:space="preserve">,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w:t>
            </w:r>
          </w:p>
        </w:tc>
        <w:tc>
          <w:tcPr>
            <w:tcW w:w="2693" w:type="dxa"/>
            <w:tcBorders>
              <w:top w:val="single" w:sz="6" w:space="0" w:color="auto"/>
              <w:left w:val="single" w:sz="6" w:space="0" w:color="auto"/>
              <w:bottom w:val="single" w:sz="6" w:space="0" w:color="auto"/>
              <w:right w:val="single" w:sz="4" w:space="0" w:color="auto"/>
            </w:tcBorders>
            <w:hideMark/>
          </w:tcPr>
          <w:p w14:paraId="07A0218C"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highlight w:val="cyan"/>
              </w:rPr>
            </w:pPr>
            <w:r w:rsidRPr="00F4424E">
              <w:rPr>
                <w:rFonts w:ascii="Times New Roman" w:hAnsi="Times New Roman" w:cs="Times New Roman"/>
                <w:sz w:val="24"/>
                <w:szCs w:val="24"/>
              </w:rPr>
              <w:t>65 (21,4</w:t>
            </w:r>
            <w:r>
              <w:rPr>
                <w:rFonts w:ascii="Times New Roman" w:hAnsi="Times New Roman" w:cs="Times New Roman"/>
                <w:sz w:val="24"/>
                <w:szCs w:val="24"/>
              </w:rPr>
              <w:t xml:space="preserve"> </w:t>
            </w:r>
            <w:r w:rsidRPr="00F4424E">
              <w:rPr>
                <w:rFonts w:ascii="Times New Roman" w:hAnsi="Times New Roman" w:cs="Times New Roman"/>
                <w:sz w:val="24"/>
                <w:szCs w:val="24"/>
              </w:rPr>
              <w:t>%)</w:t>
            </w:r>
          </w:p>
        </w:tc>
      </w:tr>
      <w:tr w:rsidR="0005338E" w:rsidRPr="00F4424E" w14:paraId="497A7143" w14:textId="77777777" w:rsidTr="00273B45">
        <w:trPr>
          <w:trHeight w:val="20"/>
        </w:trPr>
        <w:tc>
          <w:tcPr>
            <w:tcW w:w="4957" w:type="dxa"/>
            <w:gridSpan w:val="3"/>
            <w:tcBorders>
              <w:top w:val="single" w:sz="4" w:space="0" w:color="auto"/>
              <w:left w:val="single" w:sz="4" w:space="0" w:color="auto"/>
              <w:bottom w:val="single" w:sz="6" w:space="0" w:color="auto"/>
              <w:right w:val="single" w:sz="6" w:space="0" w:color="auto"/>
            </w:tcBorders>
          </w:tcPr>
          <w:p w14:paraId="47BA1EAB" w14:textId="77777777" w:rsidR="0005338E" w:rsidRPr="00772FF9" w:rsidRDefault="0005338E" w:rsidP="00273B45">
            <w:pPr>
              <w:tabs>
                <w:tab w:val="left" w:pos="1226"/>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Индекс массы тела (кг/м</w:t>
            </w:r>
            <w:r>
              <w:rPr>
                <w:rFonts w:ascii="Times New Roman" w:hAnsi="Times New Roman" w:cs="Times New Roman"/>
                <w:sz w:val="24"/>
                <w:szCs w:val="24"/>
                <w:vertAlign w:val="superscript"/>
              </w:rPr>
              <w:t>2</w:t>
            </w:r>
            <w:r w:rsidRPr="00772FF9">
              <w:rPr>
                <w:rFonts w:ascii="Times New Roman" w:hAnsi="Times New Roman" w:cs="Times New Roman"/>
                <w:sz w:val="24"/>
                <w:szCs w:val="24"/>
              </w:rPr>
              <w:t>)</w:t>
            </w:r>
          </w:p>
        </w:tc>
        <w:tc>
          <w:tcPr>
            <w:tcW w:w="2693" w:type="dxa"/>
            <w:tcBorders>
              <w:top w:val="single" w:sz="6" w:space="0" w:color="auto"/>
              <w:left w:val="single" w:sz="6" w:space="0" w:color="auto"/>
              <w:bottom w:val="single" w:sz="6" w:space="0" w:color="auto"/>
              <w:right w:val="single" w:sz="4" w:space="0" w:color="auto"/>
            </w:tcBorders>
          </w:tcPr>
          <w:p w14:paraId="4A376069" w14:textId="77777777" w:rsidR="0005338E" w:rsidRPr="00C27EEA" w:rsidRDefault="0005338E" w:rsidP="00273B45">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31,5</w:t>
            </w:r>
            <w:r w:rsidRPr="00F4424E">
              <w:rPr>
                <w:rFonts w:ascii="Times New Roman" w:hAnsi="Times New Roman" w:cs="Times New Roman"/>
                <w:sz w:val="24"/>
                <w:szCs w:val="24"/>
              </w:rPr>
              <w:t>±</w:t>
            </w:r>
            <w:r>
              <w:rPr>
                <w:rFonts w:ascii="Times New Roman" w:hAnsi="Times New Roman" w:cs="Times New Roman"/>
                <w:sz w:val="24"/>
                <w:szCs w:val="24"/>
              </w:rPr>
              <w:t>4,3</w:t>
            </w:r>
          </w:p>
        </w:tc>
      </w:tr>
    </w:tbl>
    <w:p w14:paraId="7957FE5D" w14:textId="77777777" w:rsidR="0005338E" w:rsidRPr="00AD4AF1" w:rsidRDefault="0005338E" w:rsidP="0005338E">
      <w:pPr>
        <w:jc w:val="both"/>
        <w:rPr>
          <w:rFonts w:ascii="Times New Roman" w:hAnsi="Times New Roman" w:cs="Times New Roman"/>
          <w:sz w:val="24"/>
          <w:szCs w:val="24"/>
        </w:rPr>
      </w:pPr>
      <w:r w:rsidRPr="00AD4AF1">
        <w:rPr>
          <w:rFonts w:ascii="Times New Roman" w:hAnsi="Times New Roman" w:cs="Times New Roman"/>
          <w:sz w:val="24"/>
          <w:szCs w:val="24"/>
        </w:rPr>
        <w:t>Примечания: ОНМК – острое нарушение мозгового кровообращения; ХСН – хроническая сердечная недостаточность; ФВ ЛЖ – фракция выброса левого желудочка.</w:t>
      </w:r>
    </w:p>
    <w:p w14:paraId="3FC62C9F" w14:textId="77777777" w:rsidR="0005338E" w:rsidRDefault="0005338E" w:rsidP="0005338E">
      <w:pPr>
        <w:pStyle w:val="a6"/>
        <w:keepNext/>
        <w:rPr>
          <w:rFonts w:ascii="Times New Roman" w:hAnsi="Times New Roman" w:cs="Times New Roman"/>
          <w:b/>
          <w:i w:val="0"/>
          <w:color w:val="auto"/>
          <w:sz w:val="24"/>
          <w:szCs w:val="24"/>
        </w:rPr>
      </w:pPr>
    </w:p>
    <w:p w14:paraId="30AAACE6" w14:textId="77777777" w:rsidR="0005338E" w:rsidRDefault="0005338E" w:rsidP="0005338E">
      <w:pPr>
        <w:rPr>
          <w:rFonts w:ascii="Times New Roman" w:hAnsi="Times New Roman" w:cs="Times New Roman"/>
          <w:b/>
          <w:sz w:val="24"/>
          <w:szCs w:val="24"/>
        </w:rPr>
      </w:pPr>
    </w:p>
    <w:p w14:paraId="1EB7C4EE" w14:textId="77777777" w:rsidR="0005338E" w:rsidRPr="003313BE" w:rsidRDefault="0005338E" w:rsidP="0005338E">
      <w:pPr>
        <w:rPr>
          <w:rFonts w:ascii="Times New Roman" w:hAnsi="Times New Roman" w:cs="Times New Roman"/>
          <w:b/>
          <w:sz w:val="24"/>
          <w:szCs w:val="24"/>
        </w:rPr>
      </w:pPr>
      <w:r>
        <w:rPr>
          <w:rFonts w:ascii="Times New Roman" w:hAnsi="Times New Roman" w:cs="Times New Roman"/>
          <w:b/>
          <w:sz w:val="24"/>
          <w:szCs w:val="24"/>
        </w:rPr>
        <w:t xml:space="preserve">Таблица 2. </w:t>
      </w:r>
      <w:r w:rsidRPr="00662222">
        <w:rPr>
          <w:rFonts w:ascii="Times New Roman" w:hAnsi="Times New Roman" w:cs="Times New Roman"/>
          <w:sz w:val="24"/>
          <w:szCs w:val="24"/>
        </w:rPr>
        <w:t>Типы кардиостимуляторов и показания к их имплантации</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4"/>
        <w:gridCol w:w="5387"/>
        <w:gridCol w:w="1559"/>
      </w:tblGrid>
      <w:tr w:rsidR="0005338E" w14:paraId="19CABFAA" w14:textId="77777777" w:rsidTr="00273B45">
        <w:trPr>
          <w:trHeight w:val="453"/>
        </w:trPr>
        <w:tc>
          <w:tcPr>
            <w:tcW w:w="7201" w:type="dxa"/>
            <w:gridSpan w:val="2"/>
          </w:tcPr>
          <w:p w14:paraId="0B0A9BFB" w14:textId="77777777" w:rsidR="0005338E" w:rsidRDefault="0005338E" w:rsidP="00273B45">
            <w:pPr>
              <w:jc w:val="center"/>
              <w:rPr>
                <w:rFonts w:ascii="Times New Roman" w:hAnsi="Times New Roman" w:cs="Times New Roman"/>
                <w:b/>
                <w:sz w:val="24"/>
                <w:szCs w:val="24"/>
              </w:rPr>
            </w:pPr>
            <w:r>
              <w:rPr>
                <w:rFonts w:ascii="Times New Roman" w:hAnsi="Times New Roman" w:cs="Times New Roman"/>
                <w:b/>
                <w:sz w:val="24"/>
                <w:szCs w:val="24"/>
              </w:rPr>
              <w:t>Параметр</w:t>
            </w:r>
          </w:p>
        </w:tc>
        <w:tc>
          <w:tcPr>
            <w:tcW w:w="1559" w:type="dxa"/>
          </w:tcPr>
          <w:p w14:paraId="310EA488" w14:textId="77777777" w:rsidR="0005338E" w:rsidRDefault="0005338E" w:rsidP="00273B45">
            <w:pPr>
              <w:jc w:val="center"/>
              <w:rPr>
                <w:rFonts w:ascii="Times New Roman" w:hAnsi="Times New Roman" w:cs="Times New Roman"/>
                <w:b/>
                <w:sz w:val="24"/>
                <w:szCs w:val="24"/>
              </w:rPr>
            </w:pPr>
            <w:r>
              <w:rPr>
                <w:rFonts w:ascii="Times New Roman" w:hAnsi="Times New Roman" w:cs="Times New Roman"/>
                <w:b/>
                <w:sz w:val="24"/>
                <w:szCs w:val="24"/>
              </w:rPr>
              <w:t>Значение</w:t>
            </w:r>
          </w:p>
        </w:tc>
      </w:tr>
      <w:tr w:rsidR="0005338E" w14:paraId="54FADD61" w14:textId="77777777" w:rsidTr="00273B45">
        <w:trPr>
          <w:trHeight w:val="371"/>
        </w:trPr>
        <w:tc>
          <w:tcPr>
            <w:tcW w:w="1814" w:type="dxa"/>
            <w:vMerge w:val="restart"/>
          </w:tcPr>
          <w:p w14:paraId="12279076" w14:textId="77777777" w:rsidR="0005338E" w:rsidRPr="003B0C7D" w:rsidRDefault="0005338E" w:rsidP="00273B45">
            <w:pPr>
              <w:rPr>
                <w:rFonts w:ascii="Times New Roman" w:hAnsi="Times New Roman" w:cs="Times New Roman"/>
                <w:sz w:val="24"/>
                <w:szCs w:val="24"/>
              </w:rPr>
            </w:pPr>
            <w:r w:rsidRPr="003B0C7D">
              <w:rPr>
                <w:rFonts w:ascii="Times New Roman" w:hAnsi="Times New Roman" w:cs="Times New Roman"/>
                <w:sz w:val="24"/>
                <w:szCs w:val="24"/>
              </w:rPr>
              <w:t>Тип ЭКС</w:t>
            </w:r>
          </w:p>
        </w:tc>
        <w:tc>
          <w:tcPr>
            <w:tcW w:w="5387" w:type="dxa"/>
          </w:tcPr>
          <w:p w14:paraId="12DDBF15" w14:textId="77777777" w:rsidR="0005338E" w:rsidRPr="003B0C7D" w:rsidRDefault="0005338E" w:rsidP="00273B45">
            <w:pPr>
              <w:rPr>
                <w:rFonts w:ascii="Times New Roman" w:hAnsi="Times New Roman" w:cs="Times New Roman"/>
                <w:sz w:val="24"/>
                <w:szCs w:val="24"/>
              </w:rPr>
            </w:pPr>
            <w:r>
              <w:rPr>
                <w:rFonts w:ascii="Times New Roman" w:hAnsi="Times New Roman" w:cs="Times New Roman"/>
                <w:sz w:val="24"/>
                <w:szCs w:val="24"/>
              </w:rPr>
              <w:t>Д</w:t>
            </w:r>
            <w:r w:rsidRPr="003B0C7D">
              <w:rPr>
                <w:rFonts w:ascii="Times New Roman" w:hAnsi="Times New Roman" w:cs="Times New Roman"/>
                <w:sz w:val="24"/>
                <w:szCs w:val="24"/>
              </w:rPr>
              <w:t>вухкамерный кардиостимулятор</w:t>
            </w:r>
            <w:r>
              <w:rPr>
                <w:rFonts w:ascii="Times New Roman" w:hAnsi="Times New Roman" w:cs="Times New Roman"/>
                <w:sz w:val="24"/>
                <w:szCs w:val="24"/>
              </w:rPr>
              <w:t xml:space="preserve">,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xml:space="preserve"> (%)</w:t>
            </w:r>
          </w:p>
        </w:tc>
        <w:tc>
          <w:tcPr>
            <w:tcW w:w="1559" w:type="dxa"/>
          </w:tcPr>
          <w:p w14:paraId="5FF855A7" w14:textId="77777777" w:rsidR="0005338E" w:rsidRPr="006A21B1" w:rsidRDefault="0005338E" w:rsidP="00273B45">
            <w:pPr>
              <w:jc w:val="center"/>
              <w:rPr>
                <w:rFonts w:ascii="Times New Roman" w:hAnsi="Times New Roman" w:cs="Times New Roman"/>
                <w:sz w:val="24"/>
                <w:szCs w:val="24"/>
              </w:rPr>
            </w:pPr>
            <w:r w:rsidRPr="006A21B1">
              <w:rPr>
                <w:rFonts w:ascii="Times New Roman" w:hAnsi="Times New Roman" w:cs="Times New Roman"/>
                <w:sz w:val="24"/>
                <w:szCs w:val="24"/>
              </w:rPr>
              <w:t>299 (98,4</w:t>
            </w:r>
            <w:r>
              <w:rPr>
                <w:rFonts w:ascii="Times New Roman" w:hAnsi="Times New Roman" w:cs="Times New Roman"/>
                <w:sz w:val="24"/>
                <w:szCs w:val="24"/>
              </w:rPr>
              <w:t xml:space="preserve"> </w:t>
            </w:r>
            <w:r w:rsidRPr="006A21B1">
              <w:rPr>
                <w:rFonts w:ascii="Times New Roman" w:hAnsi="Times New Roman" w:cs="Times New Roman"/>
                <w:sz w:val="24"/>
                <w:szCs w:val="24"/>
              </w:rPr>
              <w:t>%)</w:t>
            </w:r>
          </w:p>
        </w:tc>
      </w:tr>
      <w:tr w:rsidR="0005338E" w14:paraId="27E08D19" w14:textId="77777777" w:rsidTr="00273B45">
        <w:trPr>
          <w:trHeight w:val="360"/>
        </w:trPr>
        <w:tc>
          <w:tcPr>
            <w:tcW w:w="1814" w:type="dxa"/>
            <w:vMerge/>
          </w:tcPr>
          <w:p w14:paraId="370BB9CA" w14:textId="77777777" w:rsidR="0005338E" w:rsidRPr="003B0C7D" w:rsidRDefault="0005338E" w:rsidP="00273B45">
            <w:pPr>
              <w:rPr>
                <w:rFonts w:ascii="Times New Roman" w:hAnsi="Times New Roman" w:cs="Times New Roman"/>
                <w:sz w:val="24"/>
                <w:szCs w:val="24"/>
              </w:rPr>
            </w:pPr>
          </w:p>
        </w:tc>
        <w:tc>
          <w:tcPr>
            <w:tcW w:w="5387" w:type="dxa"/>
          </w:tcPr>
          <w:p w14:paraId="57E35545" w14:textId="77777777" w:rsidR="0005338E" w:rsidRPr="003B0C7D" w:rsidRDefault="0005338E" w:rsidP="00273B45">
            <w:pPr>
              <w:rPr>
                <w:rFonts w:ascii="Times New Roman" w:hAnsi="Times New Roman" w:cs="Times New Roman"/>
                <w:sz w:val="24"/>
                <w:szCs w:val="24"/>
              </w:rPr>
            </w:pPr>
            <w:r w:rsidRPr="003B0C7D">
              <w:rPr>
                <w:rFonts w:ascii="Times New Roman" w:hAnsi="Times New Roman" w:cs="Times New Roman"/>
                <w:sz w:val="24"/>
                <w:szCs w:val="24"/>
              </w:rPr>
              <w:t xml:space="preserve">Устройство для сердечной </w:t>
            </w:r>
            <w:proofErr w:type="spellStart"/>
            <w:r w:rsidRPr="003B0C7D">
              <w:rPr>
                <w:rFonts w:ascii="Times New Roman" w:hAnsi="Times New Roman" w:cs="Times New Roman"/>
                <w:sz w:val="24"/>
                <w:szCs w:val="24"/>
              </w:rPr>
              <w:t>ресинхронизирующей</w:t>
            </w:r>
            <w:proofErr w:type="spellEnd"/>
            <w:r w:rsidRPr="003B0C7D">
              <w:rPr>
                <w:rFonts w:ascii="Times New Roman" w:hAnsi="Times New Roman" w:cs="Times New Roman"/>
                <w:sz w:val="24"/>
                <w:szCs w:val="24"/>
              </w:rPr>
              <w:t xml:space="preserve"> терапии (</w:t>
            </w:r>
            <w:r w:rsidRPr="003B0C7D">
              <w:rPr>
                <w:rFonts w:ascii="Times New Roman" w:hAnsi="Times New Roman" w:cs="Times New Roman"/>
                <w:sz w:val="24"/>
                <w:szCs w:val="24"/>
                <w:lang w:val="en-US"/>
              </w:rPr>
              <w:t>CRT</w:t>
            </w:r>
            <w:r w:rsidRPr="003B0C7D">
              <w:rPr>
                <w:rFonts w:ascii="Times New Roman" w:hAnsi="Times New Roman" w:cs="Times New Roman"/>
                <w:sz w:val="24"/>
                <w:szCs w:val="24"/>
              </w:rPr>
              <w:t>-</w:t>
            </w:r>
            <w:r w:rsidRPr="003B0C7D">
              <w:rPr>
                <w:rFonts w:ascii="Times New Roman" w:hAnsi="Times New Roman" w:cs="Times New Roman"/>
                <w:sz w:val="24"/>
                <w:szCs w:val="24"/>
                <w:lang w:val="en-US"/>
              </w:rPr>
              <w:t>P</w:t>
            </w:r>
            <w:r w:rsidRPr="003B0C7D">
              <w:rPr>
                <w:rFonts w:ascii="Times New Roman" w:hAnsi="Times New Roman" w:cs="Times New Roman"/>
                <w:sz w:val="24"/>
                <w:szCs w:val="24"/>
              </w:rPr>
              <w:t>/</w:t>
            </w:r>
            <w:r w:rsidRPr="003B0C7D">
              <w:rPr>
                <w:rFonts w:ascii="Times New Roman" w:hAnsi="Times New Roman" w:cs="Times New Roman"/>
                <w:sz w:val="24"/>
                <w:szCs w:val="24"/>
                <w:lang w:val="en-US"/>
              </w:rPr>
              <w:t>CRT</w:t>
            </w:r>
            <w:r w:rsidRPr="003B0C7D">
              <w:rPr>
                <w:rFonts w:ascii="Times New Roman" w:hAnsi="Times New Roman" w:cs="Times New Roman"/>
                <w:sz w:val="24"/>
                <w:szCs w:val="24"/>
              </w:rPr>
              <w:t>-</w:t>
            </w:r>
            <w:r w:rsidRPr="003B0C7D">
              <w:rPr>
                <w:rFonts w:ascii="Times New Roman" w:hAnsi="Times New Roman" w:cs="Times New Roman"/>
                <w:sz w:val="24"/>
                <w:szCs w:val="24"/>
                <w:lang w:val="en-US"/>
              </w:rPr>
              <w:t>D</w:t>
            </w:r>
            <w:r w:rsidRPr="003B0C7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xml:space="preserve"> (%)</w:t>
            </w:r>
          </w:p>
        </w:tc>
        <w:tc>
          <w:tcPr>
            <w:tcW w:w="1559" w:type="dxa"/>
          </w:tcPr>
          <w:p w14:paraId="474B1E91" w14:textId="77777777" w:rsidR="0005338E" w:rsidRPr="006A21B1" w:rsidRDefault="0005338E" w:rsidP="00273B45">
            <w:pPr>
              <w:jc w:val="center"/>
              <w:rPr>
                <w:rFonts w:ascii="Times New Roman" w:hAnsi="Times New Roman" w:cs="Times New Roman"/>
                <w:sz w:val="24"/>
                <w:szCs w:val="24"/>
              </w:rPr>
            </w:pPr>
            <w:r w:rsidRPr="006A21B1">
              <w:rPr>
                <w:rFonts w:ascii="Times New Roman" w:hAnsi="Times New Roman" w:cs="Times New Roman"/>
                <w:sz w:val="24"/>
                <w:szCs w:val="24"/>
              </w:rPr>
              <w:t>5 (1,6</w:t>
            </w:r>
            <w:r>
              <w:rPr>
                <w:rFonts w:ascii="Times New Roman" w:hAnsi="Times New Roman" w:cs="Times New Roman"/>
                <w:sz w:val="24"/>
                <w:szCs w:val="24"/>
              </w:rPr>
              <w:t xml:space="preserve"> </w:t>
            </w:r>
            <w:r w:rsidRPr="006A21B1">
              <w:rPr>
                <w:rFonts w:ascii="Times New Roman" w:hAnsi="Times New Roman" w:cs="Times New Roman"/>
                <w:sz w:val="24"/>
                <w:szCs w:val="24"/>
              </w:rPr>
              <w:t>%)</w:t>
            </w:r>
          </w:p>
        </w:tc>
      </w:tr>
      <w:tr w:rsidR="0005338E" w14:paraId="5E36F3D8" w14:textId="77777777" w:rsidTr="00273B45">
        <w:trPr>
          <w:trHeight w:val="267"/>
        </w:trPr>
        <w:tc>
          <w:tcPr>
            <w:tcW w:w="1814" w:type="dxa"/>
            <w:vMerge w:val="restart"/>
          </w:tcPr>
          <w:p w14:paraId="6C91CB8D" w14:textId="77777777" w:rsidR="0005338E" w:rsidRPr="003B0C7D" w:rsidRDefault="0005338E" w:rsidP="00273B45">
            <w:pPr>
              <w:rPr>
                <w:rFonts w:ascii="Times New Roman" w:hAnsi="Times New Roman" w:cs="Times New Roman"/>
                <w:sz w:val="24"/>
                <w:szCs w:val="24"/>
              </w:rPr>
            </w:pPr>
            <w:r w:rsidRPr="003B0C7D">
              <w:rPr>
                <w:rFonts w:ascii="Times New Roman" w:hAnsi="Times New Roman" w:cs="Times New Roman"/>
                <w:sz w:val="24"/>
                <w:szCs w:val="24"/>
              </w:rPr>
              <w:t>Показания для имплантации ЭКС</w:t>
            </w:r>
          </w:p>
        </w:tc>
        <w:tc>
          <w:tcPr>
            <w:tcW w:w="5387" w:type="dxa"/>
          </w:tcPr>
          <w:p w14:paraId="303AC766" w14:textId="77777777" w:rsidR="0005338E" w:rsidRPr="003B0C7D" w:rsidRDefault="0005338E" w:rsidP="00273B45">
            <w:pPr>
              <w:rPr>
                <w:rFonts w:ascii="Times New Roman" w:hAnsi="Times New Roman" w:cs="Times New Roman"/>
                <w:sz w:val="24"/>
                <w:szCs w:val="24"/>
              </w:rPr>
            </w:pPr>
            <w:r w:rsidRPr="003B0C7D">
              <w:rPr>
                <w:rFonts w:ascii="Times New Roman" w:hAnsi="Times New Roman" w:cs="Times New Roman"/>
                <w:sz w:val="24"/>
                <w:szCs w:val="24"/>
              </w:rPr>
              <w:t>СССУ</w:t>
            </w:r>
            <w:r>
              <w:rPr>
                <w:rFonts w:ascii="Times New Roman" w:hAnsi="Times New Roman" w:cs="Times New Roman"/>
                <w:sz w:val="24"/>
                <w:szCs w:val="24"/>
              </w:rPr>
              <w:t xml:space="preserve">,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xml:space="preserve"> (%)</w:t>
            </w:r>
          </w:p>
        </w:tc>
        <w:tc>
          <w:tcPr>
            <w:tcW w:w="1559" w:type="dxa"/>
          </w:tcPr>
          <w:p w14:paraId="5A00728A" w14:textId="77777777" w:rsidR="0005338E" w:rsidRPr="006A21B1" w:rsidRDefault="0005338E" w:rsidP="00273B45">
            <w:pPr>
              <w:jc w:val="center"/>
              <w:rPr>
                <w:rFonts w:ascii="Times New Roman" w:hAnsi="Times New Roman" w:cs="Times New Roman"/>
                <w:sz w:val="24"/>
                <w:szCs w:val="24"/>
              </w:rPr>
            </w:pPr>
            <w:r w:rsidRPr="006A21B1">
              <w:rPr>
                <w:rFonts w:ascii="Times New Roman" w:hAnsi="Times New Roman" w:cs="Times New Roman"/>
                <w:sz w:val="24"/>
                <w:szCs w:val="24"/>
              </w:rPr>
              <w:t>95 (31,3</w:t>
            </w:r>
            <w:r>
              <w:rPr>
                <w:rFonts w:ascii="Times New Roman" w:hAnsi="Times New Roman" w:cs="Times New Roman"/>
                <w:sz w:val="24"/>
                <w:szCs w:val="24"/>
              </w:rPr>
              <w:t xml:space="preserve"> </w:t>
            </w:r>
            <w:r w:rsidRPr="006A21B1">
              <w:rPr>
                <w:rFonts w:ascii="Times New Roman" w:hAnsi="Times New Roman" w:cs="Times New Roman"/>
                <w:sz w:val="24"/>
                <w:szCs w:val="24"/>
              </w:rPr>
              <w:t>%)</w:t>
            </w:r>
          </w:p>
        </w:tc>
      </w:tr>
      <w:tr w:rsidR="0005338E" w14:paraId="5FE5D1F3" w14:textId="77777777" w:rsidTr="00273B45">
        <w:trPr>
          <w:trHeight w:val="267"/>
        </w:trPr>
        <w:tc>
          <w:tcPr>
            <w:tcW w:w="1814" w:type="dxa"/>
            <w:vMerge/>
          </w:tcPr>
          <w:p w14:paraId="7D358BE4" w14:textId="77777777" w:rsidR="0005338E" w:rsidRPr="003B0C7D" w:rsidRDefault="0005338E" w:rsidP="00273B45">
            <w:pPr>
              <w:rPr>
                <w:rFonts w:ascii="Times New Roman" w:hAnsi="Times New Roman" w:cs="Times New Roman"/>
                <w:sz w:val="24"/>
                <w:szCs w:val="24"/>
              </w:rPr>
            </w:pPr>
          </w:p>
        </w:tc>
        <w:tc>
          <w:tcPr>
            <w:tcW w:w="5387" w:type="dxa"/>
          </w:tcPr>
          <w:p w14:paraId="0A44B5A6" w14:textId="77777777" w:rsidR="0005338E" w:rsidRPr="003B0C7D" w:rsidRDefault="0005338E" w:rsidP="00273B45">
            <w:pPr>
              <w:rPr>
                <w:rFonts w:ascii="Times New Roman" w:hAnsi="Times New Roman" w:cs="Times New Roman"/>
                <w:sz w:val="24"/>
                <w:szCs w:val="24"/>
              </w:rPr>
            </w:pPr>
            <w:r w:rsidRPr="003B0C7D">
              <w:rPr>
                <w:rFonts w:ascii="Times New Roman" w:hAnsi="Times New Roman" w:cs="Times New Roman"/>
                <w:sz w:val="24"/>
                <w:szCs w:val="24"/>
              </w:rPr>
              <w:t xml:space="preserve">Нарушения </w:t>
            </w:r>
            <w:r>
              <w:rPr>
                <w:rFonts w:ascii="Times New Roman" w:hAnsi="Times New Roman" w:cs="Times New Roman"/>
                <w:sz w:val="24"/>
                <w:szCs w:val="24"/>
              </w:rPr>
              <w:t xml:space="preserve">атриовентрикулярной </w:t>
            </w:r>
            <w:r w:rsidRPr="003B0C7D">
              <w:rPr>
                <w:rFonts w:ascii="Times New Roman" w:hAnsi="Times New Roman" w:cs="Times New Roman"/>
                <w:sz w:val="24"/>
                <w:szCs w:val="24"/>
              </w:rPr>
              <w:t>проводимости</w:t>
            </w:r>
            <w:r>
              <w:rPr>
                <w:rFonts w:ascii="Times New Roman" w:hAnsi="Times New Roman" w:cs="Times New Roman"/>
                <w:sz w:val="24"/>
                <w:szCs w:val="24"/>
              </w:rPr>
              <w:t xml:space="preserve">,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xml:space="preserve"> (%)</w:t>
            </w:r>
          </w:p>
        </w:tc>
        <w:tc>
          <w:tcPr>
            <w:tcW w:w="1559" w:type="dxa"/>
          </w:tcPr>
          <w:p w14:paraId="08F952B0" w14:textId="77777777" w:rsidR="0005338E" w:rsidRPr="006A21B1" w:rsidRDefault="0005338E" w:rsidP="00273B45">
            <w:pPr>
              <w:jc w:val="center"/>
              <w:rPr>
                <w:rFonts w:ascii="Times New Roman" w:hAnsi="Times New Roman" w:cs="Times New Roman"/>
                <w:sz w:val="24"/>
                <w:szCs w:val="24"/>
              </w:rPr>
            </w:pPr>
            <w:r w:rsidRPr="006A21B1">
              <w:rPr>
                <w:rFonts w:ascii="Times New Roman" w:hAnsi="Times New Roman" w:cs="Times New Roman"/>
                <w:sz w:val="24"/>
                <w:szCs w:val="24"/>
              </w:rPr>
              <w:t>204 (67,1</w:t>
            </w:r>
            <w:r>
              <w:rPr>
                <w:rFonts w:ascii="Times New Roman" w:hAnsi="Times New Roman" w:cs="Times New Roman"/>
                <w:sz w:val="24"/>
                <w:szCs w:val="24"/>
              </w:rPr>
              <w:t xml:space="preserve"> </w:t>
            </w:r>
            <w:r w:rsidRPr="006A21B1">
              <w:rPr>
                <w:rFonts w:ascii="Times New Roman" w:hAnsi="Times New Roman" w:cs="Times New Roman"/>
                <w:sz w:val="24"/>
                <w:szCs w:val="24"/>
              </w:rPr>
              <w:t>%)</w:t>
            </w:r>
          </w:p>
        </w:tc>
      </w:tr>
      <w:tr w:rsidR="0005338E" w14:paraId="433300C8" w14:textId="77777777" w:rsidTr="00273B45">
        <w:trPr>
          <w:trHeight w:val="395"/>
        </w:trPr>
        <w:tc>
          <w:tcPr>
            <w:tcW w:w="1814" w:type="dxa"/>
            <w:vMerge/>
          </w:tcPr>
          <w:p w14:paraId="0EB430F8" w14:textId="77777777" w:rsidR="0005338E" w:rsidRPr="003B0C7D" w:rsidRDefault="0005338E" w:rsidP="00273B45">
            <w:pPr>
              <w:rPr>
                <w:rFonts w:ascii="Times New Roman" w:hAnsi="Times New Roman" w:cs="Times New Roman"/>
                <w:sz w:val="24"/>
                <w:szCs w:val="24"/>
              </w:rPr>
            </w:pPr>
          </w:p>
        </w:tc>
        <w:tc>
          <w:tcPr>
            <w:tcW w:w="5387" w:type="dxa"/>
          </w:tcPr>
          <w:p w14:paraId="31C75DD5" w14:textId="77777777" w:rsidR="0005338E" w:rsidRPr="003B0C7D" w:rsidRDefault="0005338E" w:rsidP="00273B45">
            <w:pPr>
              <w:rPr>
                <w:rFonts w:ascii="Times New Roman" w:hAnsi="Times New Roman" w:cs="Times New Roman"/>
                <w:sz w:val="24"/>
                <w:szCs w:val="24"/>
              </w:rPr>
            </w:pPr>
            <w:r w:rsidRPr="003B0C7D">
              <w:rPr>
                <w:rFonts w:ascii="Times New Roman" w:hAnsi="Times New Roman" w:cs="Times New Roman"/>
                <w:sz w:val="24"/>
                <w:szCs w:val="24"/>
              </w:rPr>
              <w:t>ХСН</w:t>
            </w:r>
            <w:r>
              <w:rPr>
                <w:rFonts w:ascii="Times New Roman" w:hAnsi="Times New Roman" w:cs="Times New Roman"/>
                <w:sz w:val="24"/>
                <w:szCs w:val="24"/>
              </w:rPr>
              <w:t xml:space="preserve">,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xml:space="preserve"> (%)</w:t>
            </w:r>
          </w:p>
        </w:tc>
        <w:tc>
          <w:tcPr>
            <w:tcW w:w="1559" w:type="dxa"/>
          </w:tcPr>
          <w:p w14:paraId="48676FA6" w14:textId="77777777" w:rsidR="0005338E" w:rsidRPr="006A21B1" w:rsidRDefault="0005338E" w:rsidP="00273B45">
            <w:pPr>
              <w:jc w:val="center"/>
              <w:rPr>
                <w:rFonts w:ascii="Times New Roman" w:hAnsi="Times New Roman" w:cs="Times New Roman"/>
                <w:sz w:val="24"/>
                <w:szCs w:val="24"/>
              </w:rPr>
            </w:pPr>
            <w:r w:rsidRPr="006A21B1">
              <w:rPr>
                <w:rFonts w:ascii="Times New Roman" w:hAnsi="Times New Roman" w:cs="Times New Roman"/>
                <w:sz w:val="24"/>
                <w:szCs w:val="24"/>
              </w:rPr>
              <w:t>5 (1,6</w:t>
            </w:r>
            <w:r>
              <w:rPr>
                <w:rFonts w:ascii="Times New Roman" w:hAnsi="Times New Roman" w:cs="Times New Roman"/>
                <w:sz w:val="24"/>
                <w:szCs w:val="24"/>
              </w:rPr>
              <w:t xml:space="preserve"> </w:t>
            </w:r>
            <w:r w:rsidRPr="006A21B1">
              <w:rPr>
                <w:rFonts w:ascii="Times New Roman" w:hAnsi="Times New Roman" w:cs="Times New Roman"/>
                <w:sz w:val="24"/>
                <w:szCs w:val="24"/>
              </w:rPr>
              <w:t>%)</w:t>
            </w:r>
          </w:p>
        </w:tc>
      </w:tr>
      <w:tr w:rsidR="0005338E" w14:paraId="70C11D05" w14:textId="77777777" w:rsidTr="00273B45">
        <w:trPr>
          <w:trHeight w:val="476"/>
        </w:trPr>
        <w:tc>
          <w:tcPr>
            <w:tcW w:w="1814" w:type="dxa"/>
            <w:vMerge w:val="restart"/>
          </w:tcPr>
          <w:p w14:paraId="16B1CB74" w14:textId="77777777" w:rsidR="0005338E" w:rsidRPr="003B0C7D" w:rsidRDefault="0005338E" w:rsidP="00273B45">
            <w:pPr>
              <w:rPr>
                <w:rFonts w:ascii="Times New Roman" w:hAnsi="Times New Roman" w:cs="Times New Roman"/>
                <w:sz w:val="24"/>
                <w:szCs w:val="24"/>
              </w:rPr>
            </w:pPr>
            <w:r w:rsidRPr="003B0C7D">
              <w:rPr>
                <w:rFonts w:ascii="Times New Roman" w:hAnsi="Times New Roman" w:cs="Times New Roman"/>
                <w:sz w:val="24"/>
                <w:szCs w:val="24"/>
              </w:rPr>
              <w:t>Имплантация</w:t>
            </w:r>
          </w:p>
        </w:tc>
        <w:tc>
          <w:tcPr>
            <w:tcW w:w="5387" w:type="dxa"/>
          </w:tcPr>
          <w:p w14:paraId="3DD6EFF7" w14:textId="77777777" w:rsidR="0005338E" w:rsidRPr="003B0C7D" w:rsidRDefault="0005338E" w:rsidP="00273B45">
            <w:pPr>
              <w:rPr>
                <w:rFonts w:ascii="Times New Roman" w:hAnsi="Times New Roman" w:cs="Times New Roman"/>
                <w:sz w:val="24"/>
                <w:szCs w:val="24"/>
              </w:rPr>
            </w:pPr>
            <w:r w:rsidRPr="003B0C7D">
              <w:rPr>
                <w:rFonts w:ascii="Times New Roman" w:hAnsi="Times New Roman" w:cs="Times New Roman"/>
                <w:sz w:val="24"/>
                <w:szCs w:val="24"/>
              </w:rPr>
              <w:t>Первичная</w:t>
            </w:r>
            <w:r>
              <w:rPr>
                <w:rFonts w:ascii="Times New Roman" w:hAnsi="Times New Roman" w:cs="Times New Roman"/>
                <w:sz w:val="24"/>
                <w:szCs w:val="24"/>
              </w:rPr>
              <w:t xml:space="preserve">,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xml:space="preserve"> (%)</w:t>
            </w:r>
          </w:p>
        </w:tc>
        <w:tc>
          <w:tcPr>
            <w:tcW w:w="1559" w:type="dxa"/>
          </w:tcPr>
          <w:p w14:paraId="79C0B3DD" w14:textId="77777777" w:rsidR="0005338E" w:rsidRPr="006A21B1" w:rsidRDefault="0005338E" w:rsidP="00273B45">
            <w:pPr>
              <w:jc w:val="center"/>
              <w:rPr>
                <w:rFonts w:ascii="Times New Roman" w:hAnsi="Times New Roman" w:cs="Times New Roman"/>
                <w:sz w:val="24"/>
                <w:szCs w:val="24"/>
              </w:rPr>
            </w:pPr>
            <w:r w:rsidRPr="006A21B1">
              <w:rPr>
                <w:rFonts w:ascii="Times New Roman" w:hAnsi="Times New Roman" w:cs="Times New Roman"/>
                <w:sz w:val="24"/>
                <w:szCs w:val="24"/>
              </w:rPr>
              <w:t>215 (70,7</w:t>
            </w:r>
            <w:r>
              <w:rPr>
                <w:rFonts w:ascii="Times New Roman" w:hAnsi="Times New Roman" w:cs="Times New Roman"/>
                <w:sz w:val="24"/>
                <w:szCs w:val="24"/>
              </w:rPr>
              <w:t xml:space="preserve"> </w:t>
            </w:r>
            <w:r w:rsidRPr="006A21B1">
              <w:rPr>
                <w:rFonts w:ascii="Times New Roman" w:hAnsi="Times New Roman" w:cs="Times New Roman"/>
                <w:sz w:val="24"/>
                <w:szCs w:val="24"/>
              </w:rPr>
              <w:t>%)</w:t>
            </w:r>
          </w:p>
        </w:tc>
      </w:tr>
      <w:tr w:rsidR="0005338E" w14:paraId="12192E5A" w14:textId="77777777" w:rsidTr="00273B45">
        <w:trPr>
          <w:trHeight w:val="476"/>
        </w:trPr>
        <w:tc>
          <w:tcPr>
            <w:tcW w:w="1814" w:type="dxa"/>
            <w:vMerge/>
          </w:tcPr>
          <w:p w14:paraId="3B832CD9" w14:textId="77777777" w:rsidR="0005338E" w:rsidRPr="003B0C7D" w:rsidRDefault="0005338E" w:rsidP="00273B45">
            <w:pPr>
              <w:rPr>
                <w:rFonts w:ascii="Times New Roman" w:hAnsi="Times New Roman" w:cs="Times New Roman"/>
                <w:sz w:val="24"/>
                <w:szCs w:val="24"/>
              </w:rPr>
            </w:pPr>
          </w:p>
        </w:tc>
        <w:tc>
          <w:tcPr>
            <w:tcW w:w="5387" w:type="dxa"/>
          </w:tcPr>
          <w:p w14:paraId="325C4731" w14:textId="77777777" w:rsidR="0005338E" w:rsidRPr="003B0C7D" w:rsidRDefault="0005338E" w:rsidP="00273B45">
            <w:pPr>
              <w:rPr>
                <w:rFonts w:ascii="Times New Roman" w:hAnsi="Times New Roman" w:cs="Times New Roman"/>
                <w:sz w:val="24"/>
                <w:szCs w:val="24"/>
              </w:rPr>
            </w:pPr>
            <w:r w:rsidRPr="003B0C7D">
              <w:rPr>
                <w:rFonts w:ascii="Times New Roman" w:hAnsi="Times New Roman" w:cs="Times New Roman"/>
                <w:sz w:val="24"/>
                <w:szCs w:val="24"/>
              </w:rPr>
              <w:t>Смена</w:t>
            </w:r>
            <w:r>
              <w:rPr>
                <w:rFonts w:ascii="Times New Roman" w:hAnsi="Times New Roman" w:cs="Times New Roman"/>
                <w:sz w:val="24"/>
                <w:szCs w:val="24"/>
              </w:rPr>
              <w:t xml:space="preserve">,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xml:space="preserve"> (%)</w:t>
            </w:r>
          </w:p>
        </w:tc>
        <w:tc>
          <w:tcPr>
            <w:tcW w:w="1559" w:type="dxa"/>
          </w:tcPr>
          <w:p w14:paraId="1923EBC9" w14:textId="77777777" w:rsidR="0005338E" w:rsidRPr="006A21B1" w:rsidRDefault="0005338E" w:rsidP="00273B45">
            <w:pPr>
              <w:jc w:val="center"/>
              <w:rPr>
                <w:rFonts w:ascii="Times New Roman" w:hAnsi="Times New Roman" w:cs="Times New Roman"/>
                <w:sz w:val="24"/>
                <w:szCs w:val="24"/>
              </w:rPr>
            </w:pPr>
            <w:r w:rsidRPr="006A21B1">
              <w:rPr>
                <w:rFonts w:ascii="Times New Roman" w:hAnsi="Times New Roman" w:cs="Times New Roman"/>
                <w:sz w:val="24"/>
                <w:szCs w:val="24"/>
              </w:rPr>
              <w:t>89 (29,3</w:t>
            </w:r>
            <w:r>
              <w:rPr>
                <w:rFonts w:ascii="Times New Roman" w:hAnsi="Times New Roman" w:cs="Times New Roman"/>
                <w:sz w:val="24"/>
                <w:szCs w:val="24"/>
              </w:rPr>
              <w:t xml:space="preserve"> </w:t>
            </w:r>
            <w:r w:rsidRPr="006A21B1">
              <w:rPr>
                <w:rFonts w:ascii="Times New Roman" w:hAnsi="Times New Roman" w:cs="Times New Roman"/>
                <w:sz w:val="24"/>
                <w:szCs w:val="24"/>
              </w:rPr>
              <w:t>%)</w:t>
            </w:r>
          </w:p>
        </w:tc>
      </w:tr>
    </w:tbl>
    <w:p w14:paraId="6B13EC3D" w14:textId="77777777" w:rsidR="0005338E" w:rsidRPr="00B62022" w:rsidRDefault="0005338E" w:rsidP="0005338E">
      <w:pPr>
        <w:rPr>
          <w:rFonts w:ascii="Times New Roman" w:hAnsi="Times New Roman" w:cs="Times New Roman"/>
          <w:sz w:val="24"/>
          <w:szCs w:val="24"/>
        </w:rPr>
      </w:pPr>
      <w:r w:rsidRPr="00B62022">
        <w:rPr>
          <w:rFonts w:ascii="Times New Roman" w:hAnsi="Times New Roman" w:cs="Times New Roman"/>
          <w:sz w:val="24"/>
          <w:szCs w:val="24"/>
        </w:rPr>
        <w:t>Примечания: ЭКС – электрокардиостимулятор; СССУ – синдром слабости синусового узла; ХСН – хроническая сердечная недостаточность.</w:t>
      </w:r>
    </w:p>
    <w:p w14:paraId="765ACD2E" w14:textId="77777777" w:rsidR="0005338E" w:rsidRDefault="0005338E" w:rsidP="0005338E">
      <w:pPr>
        <w:pStyle w:val="a6"/>
        <w:keepNext/>
        <w:rPr>
          <w:i w:val="0"/>
          <w:iCs w:val="0"/>
          <w:color w:val="auto"/>
          <w:sz w:val="22"/>
          <w:szCs w:val="22"/>
        </w:rPr>
      </w:pPr>
    </w:p>
    <w:p w14:paraId="147E42A4" w14:textId="77777777" w:rsidR="0005338E" w:rsidRDefault="0005338E" w:rsidP="0005338E"/>
    <w:p w14:paraId="4ACF5AD4" w14:textId="77777777" w:rsidR="0005338E" w:rsidRDefault="0005338E" w:rsidP="0005338E"/>
    <w:p w14:paraId="0FDC5B46" w14:textId="77777777" w:rsidR="0005338E" w:rsidRDefault="0005338E" w:rsidP="0005338E"/>
    <w:p w14:paraId="13A64142" w14:textId="77777777" w:rsidR="0005338E" w:rsidRDefault="0005338E" w:rsidP="0005338E"/>
    <w:p w14:paraId="6C22369F" w14:textId="77777777" w:rsidR="0005338E" w:rsidRDefault="0005338E" w:rsidP="0005338E"/>
    <w:p w14:paraId="7796740F" w14:textId="77777777" w:rsidR="0005338E" w:rsidRPr="007022B9" w:rsidRDefault="0005338E" w:rsidP="0005338E"/>
    <w:p w14:paraId="61EF5EDB" w14:textId="77777777" w:rsidR="0005338E" w:rsidRPr="00AE4486" w:rsidRDefault="0005338E" w:rsidP="0005338E">
      <w:pPr>
        <w:pStyle w:val="a6"/>
        <w:keepNext/>
        <w:rPr>
          <w:rFonts w:ascii="Times New Roman" w:hAnsi="Times New Roman" w:cs="Times New Roman"/>
          <w:i w:val="0"/>
          <w:color w:val="auto"/>
          <w:sz w:val="24"/>
          <w:szCs w:val="24"/>
        </w:rPr>
      </w:pPr>
      <w:r w:rsidRPr="001E0B9E">
        <w:rPr>
          <w:rFonts w:ascii="Times New Roman" w:hAnsi="Times New Roman" w:cs="Times New Roman"/>
          <w:b/>
          <w:i w:val="0"/>
          <w:color w:val="auto"/>
          <w:sz w:val="24"/>
          <w:szCs w:val="24"/>
        </w:rPr>
        <w:t xml:space="preserve">Таблица </w:t>
      </w:r>
      <w:r>
        <w:rPr>
          <w:rFonts w:ascii="Times New Roman" w:hAnsi="Times New Roman" w:cs="Times New Roman"/>
          <w:b/>
          <w:i w:val="0"/>
          <w:color w:val="auto"/>
          <w:sz w:val="24"/>
          <w:szCs w:val="24"/>
        </w:rPr>
        <w:t>3.</w:t>
      </w:r>
      <w:r>
        <w:rPr>
          <w:rFonts w:ascii="Times New Roman" w:hAnsi="Times New Roman" w:cs="Times New Roman"/>
          <w:i w:val="0"/>
          <w:color w:val="auto"/>
          <w:sz w:val="24"/>
          <w:szCs w:val="24"/>
        </w:rPr>
        <w:t xml:space="preserve"> Медикаментозная терапия пациентов </w:t>
      </w:r>
      <w:r w:rsidRPr="001E0B9E">
        <w:rPr>
          <w:rFonts w:ascii="Times New Roman" w:hAnsi="Times New Roman" w:cs="Times New Roman"/>
          <w:i w:val="0"/>
          <w:color w:val="auto"/>
          <w:sz w:val="24"/>
          <w:szCs w:val="24"/>
        </w:rPr>
        <w:t>(</w:t>
      </w:r>
      <w:r w:rsidRPr="001E0B9E">
        <w:rPr>
          <w:rFonts w:ascii="Times New Roman" w:hAnsi="Times New Roman" w:cs="Times New Roman"/>
          <w:i w:val="0"/>
          <w:color w:val="auto"/>
          <w:sz w:val="24"/>
          <w:szCs w:val="24"/>
          <w:lang w:val="en-US"/>
        </w:rPr>
        <w:t>n</w:t>
      </w:r>
      <w:r w:rsidRPr="001E0B9E">
        <w:rPr>
          <w:rFonts w:ascii="Times New Roman" w:hAnsi="Times New Roman" w:cs="Times New Roman"/>
          <w:i w:val="0"/>
          <w:color w:val="auto"/>
          <w:sz w:val="24"/>
          <w:szCs w:val="24"/>
        </w:rPr>
        <w:t>=304)</w:t>
      </w:r>
    </w:p>
    <w:p w14:paraId="3716D7B1" w14:textId="77777777" w:rsidR="0005338E" w:rsidRPr="00C27EEA" w:rsidRDefault="0005338E" w:rsidP="0005338E">
      <w:pPr>
        <w:tabs>
          <w:tab w:val="left" w:pos="914"/>
        </w:tabs>
      </w:pPr>
      <w:r>
        <w:tab/>
      </w:r>
    </w:p>
    <w:tbl>
      <w:tblPr>
        <w:tblStyle w:val="a5"/>
        <w:tblpPr w:leftFromText="180" w:rightFromText="180" w:vertAnchor="text" w:tblpY="-483"/>
        <w:tblW w:w="0" w:type="auto"/>
        <w:tblLayout w:type="fixed"/>
        <w:tblLook w:val="04A0" w:firstRow="1" w:lastRow="0" w:firstColumn="1" w:lastColumn="0" w:noHBand="0" w:noVBand="1"/>
      </w:tblPr>
      <w:tblGrid>
        <w:gridCol w:w="4815"/>
        <w:gridCol w:w="2977"/>
      </w:tblGrid>
      <w:tr w:rsidR="0005338E" w:rsidRPr="00F4424E" w14:paraId="315353A1" w14:textId="77777777" w:rsidTr="00273B45">
        <w:trPr>
          <w:trHeight w:val="20"/>
        </w:trPr>
        <w:tc>
          <w:tcPr>
            <w:tcW w:w="4815" w:type="dxa"/>
            <w:hideMark/>
          </w:tcPr>
          <w:p w14:paraId="025D7CDE"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Бета-блокаторы,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w:t>
            </w:r>
          </w:p>
        </w:tc>
        <w:tc>
          <w:tcPr>
            <w:tcW w:w="2977" w:type="dxa"/>
            <w:hideMark/>
          </w:tcPr>
          <w:p w14:paraId="578C02C6"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rPr>
            </w:pPr>
            <w:r w:rsidRPr="00F4424E">
              <w:rPr>
                <w:rFonts w:ascii="Times New Roman" w:hAnsi="Times New Roman" w:cs="Times New Roman"/>
                <w:sz w:val="24"/>
                <w:szCs w:val="24"/>
              </w:rPr>
              <w:t>216 (71,1 %)</w:t>
            </w:r>
          </w:p>
        </w:tc>
      </w:tr>
      <w:tr w:rsidR="0005338E" w:rsidRPr="00F4424E" w14:paraId="4A6E649D" w14:textId="77777777" w:rsidTr="00273B45">
        <w:trPr>
          <w:trHeight w:val="20"/>
        </w:trPr>
        <w:tc>
          <w:tcPr>
            <w:tcW w:w="4815" w:type="dxa"/>
            <w:hideMark/>
          </w:tcPr>
          <w:p w14:paraId="64BC0EF8"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rPr>
            </w:pPr>
            <w:proofErr w:type="spellStart"/>
            <w:r w:rsidRPr="00F4424E">
              <w:rPr>
                <w:rFonts w:ascii="Times New Roman" w:hAnsi="Times New Roman" w:cs="Times New Roman"/>
                <w:sz w:val="24"/>
                <w:szCs w:val="24"/>
              </w:rPr>
              <w:t>иАПФ</w:t>
            </w:r>
            <w:proofErr w:type="spellEnd"/>
            <w:r w:rsidRPr="00F4424E">
              <w:rPr>
                <w:rFonts w:ascii="Times New Roman" w:hAnsi="Times New Roman" w:cs="Times New Roman"/>
                <w:sz w:val="24"/>
                <w:szCs w:val="24"/>
              </w:rPr>
              <w:t>/</w:t>
            </w:r>
            <w:proofErr w:type="spellStart"/>
            <w:r w:rsidRPr="00F4424E">
              <w:rPr>
                <w:rFonts w:ascii="Times New Roman" w:hAnsi="Times New Roman" w:cs="Times New Roman"/>
                <w:sz w:val="24"/>
                <w:szCs w:val="24"/>
              </w:rPr>
              <w:t>сартанов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w:t>
            </w:r>
          </w:p>
        </w:tc>
        <w:tc>
          <w:tcPr>
            <w:tcW w:w="2977" w:type="dxa"/>
            <w:hideMark/>
          </w:tcPr>
          <w:p w14:paraId="1D9724E0"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highlight w:val="cyan"/>
              </w:rPr>
            </w:pPr>
            <w:r w:rsidRPr="00F4424E">
              <w:rPr>
                <w:rFonts w:ascii="Times New Roman" w:hAnsi="Times New Roman" w:cs="Times New Roman"/>
                <w:sz w:val="24"/>
                <w:szCs w:val="24"/>
              </w:rPr>
              <w:t>241 (79,3</w:t>
            </w:r>
            <w:r>
              <w:rPr>
                <w:rFonts w:ascii="Times New Roman" w:hAnsi="Times New Roman" w:cs="Times New Roman"/>
                <w:sz w:val="24"/>
                <w:szCs w:val="24"/>
              </w:rPr>
              <w:t xml:space="preserve"> </w:t>
            </w:r>
            <w:r w:rsidRPr="00F4424E">
              <w:rPr>
                <w:rFonts w:ascii="Times New Roman" w:hAnsi="Times New Roman" w:cs="Times New Roman"/>
                <w:sz w:val="24"/>
                <w:szCs w:val="24"/>
              </w:rPr>
              <w:t>%)</w:t>
            </w:r>
          </w:p>
        </w:tc>
      </w:tr>
      <w:tr w:rsidR="0005338E" w:rsidRPr="00F4424E" w14:paraId="793A77B0" w14:textId="77777777" w:rsidTr="00273B45">
        <w:trPr>
          <w:trHeight w:val="20"/>
        </w:trPr>
        <w:tc>
          <w:tcPr>
            <w:tcW w:w="4815" w:type="dxa"/>
            <w:hideMark/>
          </w:tcPr>
          <w:p w14:paraId="0816C091"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Антагонисты</w:t>
            </w:r>
            <w:r w:rsidRPr="00F4424E">
              <w:rPr>
                <w:rFonts w:ascii="Times New Roman" w:hAnsi="Times New Roman" w:cs="Times New Roman"/>
                <w:sz w:val="24"/>
                <w:szCs w:val="24"/>
              </w:rPr>
              <w:t xml:space="preserve"> альдостерона</w:t>
            </w:r>
            <w:r>
              <w:rPr>
                <w:rFonts w:ascii="Times New Roman" w:hAnsi="Times New Roman" w:cs="Times New Roman"/>
                <w:sz w:val="24"/>
                <w:szCs w:val="24"/>
              </w:rPr>
              <w:t xml:space="preserve">,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w:t>
            </w:r>
          </w:p>
        </w:tc>
        <w:tc>
          <w:tcPr>
            <w:tcW w:w="2977" w:type="dxa"/>
            <w:hideMark/>
          </w:tcPr>
          <w:p w14:paraId="6BE632DF"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highlight w:val="cyan"/>
              </w:rPr>
            </w:pPr>
            <w:r w:rsidRPr="00F4424E">
              <w:rPr>
                <w:rFonts w:ascii="Times New Roman" w:hAnsi="Times New Roman" w:cs="Times New Roman"/>
                <w:sz w:val="24"/>
                <w:szCs w:val="24"/>
              </w:rPr>
              <w:t>33 (10,9</w:t>
            </w:r>
            <w:r>
              <w:rPr>
                <w:rFonts w:ascii="Times New Roman" w:hAnsi="Times New Roman" w:cs="Times New Roman"/>
                <w:sz w:val="24"/>
                <w:szCs w:val="24"/>
              </w:rPr>
              <w:t xml:space="preserve"> </w:t>
            </w:r>
            <w:r w:rsidRPr="00F4424E">
              <w:rPr>
                <w:rFonts w:ascii="Times New Roman" w:hAnsi="Times New Roman" w:cs="Times New Roman"/>
                <w:sz w:val="24"/>
                <w:szCs w:val="24"/>
              </w:rPr>
              <w:t>%)</w:t>
            </w:r>
          </w:p>
        </w:tc>
      </w:tr>
      <w:tr w:rsidR="0005338E" w:rsidRPr="00F4424E" w14:paraId="640FF78B" w14:textId="77777777" w:rsidTr="00273B45">
        <w:trPr>
          <w:trHeight w:val="20"/>
        </w:trPr>
        <w:tc>
          <w:tcPr>
            <w:tcW w:w="4815" w:type="dxa"/>
          </w:tcPr>
          <w:p w14:paraId="530EA3AE" w14:textId="77777777" w:rsidR="0005338E" w:rsidRDefault="0005338E" w:rsidP="00273B45">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Петлевые диуретики,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w:t>
            </w:r>
          </w:p>
        </w:tc>
        <w:tc>
          <w:tcPr>
            <w:tcW w:w="2977" w:type="dxa"/>
          </w:tcPr>
          <w:p w14:paraId="73AA3714"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51 (16,8 %)</w:t>
            </w:r>
          </w:p>
        </w:tc>
      </w:tr>
      <w:tr w:rsidR="0005338E" w:rsidRPr="00F4424E" w14:paraId="5672A809" w14:textId="77777777" w:rsidTr="00273B45">
        <w:trPr>
          <w:trHeight w:val="20"/>
        </w:trPr>
        <w:tc>
          <w:tcPr>
            <w:tcW w:w="4815" w:type="dxa"/>
            <w:hideMark/>
          </w:tcPr>
          <w:p w14:paraId="5398844F"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Аспирин,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w:t>
            </w:r>
          </w:p>
        </w:tc>
        <w:tc>
          <w:tcPr>
            <w:tcW w:w="2977" w:type="dxa"/>
            <w:hideMark/>
          </w:tcPr>
          <w:p w14:paraId="1D18AB5C"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highlight w:val="cyan"/>
              </w:rPr>
            </w:pPr>
            <w:r w:rsidRPr="00F4424E">
              <w:rPr>
                <w:rFonts w:ascii="Times New Roman" w:hAnsi="Times New Roman" w:cs="Times New Roman"/>
                <w:sz w:val="24"/>
                <w:szCs w:val="24"/>
              </w:rPr>
              <w:t>223 (73,4</w:t>
            </w:r>
            <w:r>
              <w:rPr>
                <w:rFonts w:ascii="Times New Roman" w:hAnsi="Times New Roman" w:cs="Times New Roman"/>
                <w:sz w:val="24"/>
                <w:szCs w:val="24"/>
              </w:rPr>
              <w:t xml:space="preserve"> </w:t>
            </w:r>
            <w:r w:rsidRPr="00F4424E">
              <w:rPr>
                <w:rFonts w:ascii="Times New Roman" w:hAnsi="Times New Roman" w:cs="Times New Roman"/>
                <w:sz w:val="24"/>
                <w:szCs w:val="24"/>
              </w:rPr>
              <w:t>%)</w:t>
            </w:r>
          </w:p>
        </w:tc>
      </w:tr>
      <w:tr w:rsidR="0005338E" w:rsidRPr="00F4424E" w14:paraId="6D12B7F0" w14:textId="77777777" w:rsidTr="00273B45">
        <w:trPr>
          <w:trHeight w:val="20"/>
        </w:trPr>
        <w:tc>
          <w:tcPr>
            <w:tcW w:w="4815" w:type="dxa"/>
            <w:hideMark/>
          </w:tcPr>
          <w:p w14:paraId="07A54348"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rPr>
            </w:pPr>
            <w:r w:rsidRPr="00F4424E">
              <w:rPr>
                <w:rFonts w:ascii="Times New Roman" w:hAnsi="Times New Roman" w:cs="Times New Roman"/>
                <w:sz w:val="24"/>
                <w:szCs w:val="24"/>
              </w:rPr>
              <w:t>БКК</w:t>
            </w:r>
            <w:r>
              <w:rPr>
                <w:rFonts w:ascii="Times New Roman" w:hAnsi="Times New Roman" w:cs="Times New Roman"/>
                <w:sz w:val="24"/>
                <w:szCs w:val="24"/>
              </w:rPr>
              <w:t xml:space="preserve">, </w:t>
            </w:r>
            <w:proofErr w:type="spellStart"/>
            <w:r>
              <w:rPr>
                <w:rFonts w:ascii="Times New Roman" w:hAnsi="Times New Roman" w:cs="Times New Roman"/>
                <w:sz w:val="24"/>
                <w:szCs w:val="24"/>
              </w:rPr>
              <w:t>абс</w:t>
            </w:r>
            <w:proofErr w:type="spellEnd"/>
            <w:r>
              <w:rPr>
                <w:rFonts w:ascii="Times New Roman" w:hAnsi="Times New Roman" w:cs="Times New Roman"/>
                <w:sz w:val="24"/>
                <w:szCs w:val="24"/>
              </w:rPr>
              <w:t>. (%)</w:t>
            </w:r>
          </w:p>
        </w:tc>
        <w:tc>
          <w:tcPr>
            <w:tcW w:w="2977" w:type="dxa"/>
            <w:hideMark/>
          </w:tcPr>
          <w:p w14:paraId="6A12C4BF" w14:textId="77777777" w:rsidR="0005338E" w:rsidRPr="00F4424E" w:rsidRDefault="0005338E" w:rsidP="00273B45">
            <w:pPr>
              <w:autoSpaceDE w:val="0"/>
              <w:autoSpaceDN w:val="0"/>
              <w:adjustRightInd w:val="0"/>
              <w:spacing w:line="240" w:lineRule="auto"/>
              <w:jc w:val="center"/>
              <w:rPr>
                <w:rFonts w:ascii="Times New Roman" w:hAnsi="Times New Roman" w:cs="Times New Roman"/>
                <w:sz w:val="24"/>
                <w:szCs w:val="24"/>
                <w:highlight w:val="cyan"/>
              </w:rPr>
            </w:pPr>
            <w:r w:rsidRPr="00F4424E">
              <w:rPr>
                <w:rFonts w:ascii="Times New Roman" w:hAnsi="Times New Roman" w:cs="Times New Roman"/>
                <w:sz w:val="24"/>
                <w:szCs w:val="24"/>
              </w:rPr>
              <w:t>121 (39,8</w:t>
            </w:r>
            <w:r>
              <w:rPr>
                <w:rFonts w:ascii="Times New Roman" w:hAnsi="Times New Roman" w:cs="Times New Roman"/>
                <w:sz w:val="24"/>
                <w:szCs w:val="24"/>
              </w:rPr>
              <w:t xml:space="preserve"> </w:t>
            </w:r>
            <w:r w:rsidRPr="00F4424E">
              <w:rPr>
                <w:rFonts w:ascii="Times New Roman" w:hAnsi="Times New Roman" w:cs="Times New Roman"/>
                <w:sz w:val="24"/>
                <w:szCs w:val="24"/>
              </w:rPr>
              <w:t>%)</w:t>
            </w:r>
          </w:p>
        </w:tc>
      </w:tr>
    </w:tbl>
    <w:p w14:paraId="02276941" w14:textId="77777777" w:rsidR="0005338E" w:rsidRPr="0096013C" w:rsidRDefault="0005338E" w:rsidP="0005338E">
      <w:pPr>
        <w:pStyle w:val="a3"/>
        <w:shd w:val="clear" w:color="auto" w:fill="FFFFFF"/>
        <w:spacing w:line="480" w:lineRule="auto"/>
        <w:jc w:val="both"/>
        <w:textAlignment w:val="top"/>
        <w:rPr>
          <w:rFonts w:ascii="Times New Roman" w:hAnsi="Times New Roman"/>
          <w:color w:val="000000" w:themeColor="text1"/>
          <w:sz w:val="28"/>
          <w:szCs w:val="28"/>
        </w:rPr>
      </w:pPr>
    </w:p>
    <w:p w14:paraId="3CFD87DA" w14:textId="77777777" w:rsidR="0005338E" w:rsidRPr="0096013C" w:rsidRDefault="0005338E" w:rsidP="0005338E">
      <w:pPr>
        <w:shd w:val="clear" w:color="auto" w:fill="FFFFFF"/>
        <w:spacing w:before="240" w:after="120" w:line="480" w:lineRule="auto"/>
        <w:jc w:val="both"/>
        <w:outlineLvl w:val="0"/>
        <w:rPr>
          <w:rFonts w:ascii="Times New Roman" w:eastAsia="Times New Roman" w:hAnsi="Times New Roman" w:cs="Times New Roman"/>
          <w:bCs/>
          <w:color w:val="000000" w:themeColor="text1"/>
          <w:kern w:val="36"/>
          <w:sz w:val="28"/>
          <w:szCs w:val="28"/>
          <w:lang w:eastAsia="ru-RU"/>
        </w:rPr>
      </w:pPr>
    </w:p>
    <w:p w14:paraId="65519A9A" w14:textId="77777777" w:rsidR="0005338E" w:rsidRPr="0096013C" w:rsidRDefault="0005338E" w:rsidP="0005338E">
      <w:pPr>
        <w:shd w:val="clear" w:color="auto" w:fill="FFFFFF"/>
        <w:spacing w:after="166" w:line="480" w:lineRule="auto"/>
        <w:jc w:val="both"/>
        <w:rPr>
          <w:rFonts w:ascii="Times New Roman" w:eastAsia="Times New Roman" w:hAnsi="Times New Roman" w:cs="Times New Roman"/>
          <w:color w:val="000000" w:themeColor="text1"/>
          <w:sz w:val="28"/>
          <w:szCs w:val="28"/>
          <w:lang w:eastAsia="ru-RU"/>
        </w:rPr>
      </w:pPr>
    </w:p>
    <w:p w14:paraId="06A4DFB7" w14:textId="77777777" w:rsidR="0005338E" w:rsidRPr="00B62022" w:rsidRDefault="0005338E" w:rsidP="0005338E">
      <w:pPr>
        <w:shd w:val="clear" w:color="auto" w:fill="FFFFFF"/>
        <w:spacing w:line="480" w:lineRule="auto"/>
        <w:jc w:val="both"/>
        <w:rPr>
          <w:rFonts w:ascii="Times New Roman" w:hAnsi="Times New Roman" w:cs="Times New Roman"/>
          <w:color w:val="000000" w:themeColor="text1"/>
          <w:sz w:val="24"/>
          <w:szCs w:val="24"/>
        </w:rPr>
      </w:pPr>
      <w:r w:rsidRPr="00B62022">
        <w:rPr>
          <w:rFonts w:ascii="Times New Roman" w:hAnsi="Times New Roman" w:cs="Times New Roman"/>
          <w:color w:val="000000" w:themeColor="text1"/>
          <w:sz w:val="24"/>
          <w:szCs w:val="24"/>
        </w:rPr>
        <w:t xml:space="preserve">Примечания: </w:t>
      </w:r>
      <w:proofErr w:type="spellStart"/>
      <w:r w:rsidRPr="00B62022">
        <w:rPr>
          <w:rFonts w:ascii="Times New Roman" w:hAnsi="Times New Roman" w:cs="Times New Roman"/>
          <w:color w:val="000000" w:themeColor="text1"/>
          <w:sz w:val="24"/>
          <w:szCs w:val="24"/>
        </w:rPr>
        <w:t>иАПФ</w:t>
      </w:r>
      <w:proofErr w:type="spellEnd"/>
      <w:r w:rsidRPr="00B62022">
        <w:rPr>
          <w:rFonts w:ascii="Times New Roman" w:hAnsi="Times New Roman" w:cs="Times New Roman"/>
          <w:color w:val="000000" w:themeColor="text1"/>
          <w:sz w:val="24"/>
          <w:szCs w:val="24"/>
        </w:rPr>
        <w:t xml:space="preserve"> – ингибиторы </w:t>
      </w:r>
      <w:proofErr w:type="spellStart"/>
      <w:r w:rsidRPr="00B62022">
        <w:rPr>
          <w:rFonts w:ascii="Times New Roman" w:hAnsi="Times New Roman" w:cs="Times New Roman"/>
          <w:color w:val="000000" w:themeColor="text1"/>
          <w:sz w:val="24"/>
          <w:szCs w:val="24"/>
        </w:rPr>
        <w:t>ангиотензинпревращающего</w:t>
      </w:r>
      <w:proofErr w:type="spellEnd"/>
      <w:r w:rsidRPr="00B62022">
        <w:rPr>
          <w:rFonts w:ascii="Times New Roman" w:hAnsi="Times New Roman" w:cs="Times New Roman"/>
          <w:color w:val="000000" w:themeColor="text1"/>
          <w:sz w:val="24"/>
          <w:szCs w:val="24"/>
        </w:rPr>
        <w:t xml:space="preserve"> фермента; БКК – блокаторы кальциевых каналов.</w:t>
      </w:r>
    </w:p>
    <w:p w14:paraId="7E2713D1" w14:textId="77777777" w:rsidR="0005338E" w:rsidRPr="00B62022" w:rsidRDefault="0005338E" w:rsidP="0005338E">
      <w:pPr>
        <w:shd w:val="clear" w:color="auto" w:fill="FFFFFF"/>
        <w:spacing w:line="480" w:lineRule="auto"/>
        <w:jc w:val="both"/>
        <w:rPr>
          <w:rFonts w:ascii="Times New Roman" w:hAnsi="Times New Roman" w:cs="Times New Roman"/>
          <w:color w:val="000000" w:themeColor="text1"/>
          <w:sz w:val="24"/>
          <w:szCs w:val="24"/>
        </w:rPr>
      </w:pPr>
    </w:p>
    <w:p w14:paraId="3C303CCD" w14:textId="77777777" w:rsidR="0005338E" w:rsidRPr="004E1A69" w:rsidRDefault="0005338E" w:rsidP="0005338E">
      <w:pPr>
        <w:shd w:val="clear" w:color="auto" w:fill="FFFFFF"/>
        <w:spacing w:after="0" w:line="480" w:lineRule="auto"/>
        <w:ind w:left="360"/>
        <w:jc w:val="both"/>
        <w:rPr>
          <w:rFonts w:ascii="Times New Roman" w:hAnsi="Times New Roman"/>
          <w:color w:val="000000" w:themeColor="text1"/>
          <w:sz w:val="28"/>
          <w:szCs w:val="28"/>
          <w:lang w:val="en-US"/>
        </w:rPr>
      </w:pPr>
      <w:r>
        <w:rPr>
          <w:noProof/>
          <w:lang w:val="en-US" w:eastAsia="ru-RU"/>
        </w:rPr>
        <w:drawing>
          <wp:inline distT="0" distB="0" distL="0" distR="0" wp14:anchorId="6746B750" wp14:editId="1EF36CF4">
            <wp:extent cx="5329881" cy="3086100"/>
            <wp:effectExtent l="0" t="0" r="444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1995253" w14:textId="77777777" w:rsidR="0005338E" w:rsidRPr="00F32A99" w:rsidRDefault="0005338E" w:rsidP="0005338E">
      <w:pPr>
        <w:shd w:val="clear" w:color="auto" w:fill="FFFFFF"/>
        <w:spacing w:line="480" w:lineRule="auto"/>
        <w:jc w:val="both"/>
        <w:rPr>
          <w:rFonts w:ascii="Times New Roman" w:hAnsi="Times New Roman" w:cs="Times New Roman"/>
          <w:color w:val="000000" w:themeColor="text1"/>
          <w:sz w:val="24"/>
          <w:szCs w:val="24"/>
        </w:rPr>
      </w:pPr>
      <w:r w:rsidRPr="00B05584">
        <w:rPr>
          <w:rFonts w:ascii="Times New Roman" w:hAnsi="Times New Roman" w:cs="Times New Roman"/>
          <w:b/>
          <w:color w:val="000000" w:themeColor="text1"/>
          <w:sz w:val="24"/>
          <w:szCs w:val="24"/>
        </w:rPr>
        <w:t>Рисунок 1.</w:t>
      </w:r>
      <w:r>
        <w:rPr>
          <w:rFonts w:ascii="Times New Roman" w:hAnsi="Times New Roman" w:cs="Times New Roman"/>
          <w:color w:val="000000" w:themeColor="text1"/>
          <w:sz w:val="24"/>
          <w:szCs w:val="24"/>
        </w:rPr>
        <w:t xml:space="preserve"> Доля</w:t>
      </w:r>
      <w:r w:rsidRPr="00F32A99">
        <w:rPr>
          <w:rFonts w:ascii="Times New Roman" w:hAnsi="Times New Roman" w:cs="Times New Roman"/>
          <w:color w:val="000000" w:themeColor="text1"/>
          <w:sz w:val="24"/>
          <w:szCs w:val="24"/>
        </w:rPr>
        <w:t xml:space="preserve"> выявления </w:t>
      </w:r>
      <w:r>
        <w:rPr>
          <w:rFonts w:ascii="Times New Roman" w:hAnsi="Times New Roman" w:cs="Times New Roman"/>
          <w:color w:val="000000" w:themeColor="text1"/>
          <w:sz w:val="24"/>
          <w:szCs w:val="24"/>
        </w:rPr>
        <w:t>ФП</w:t>
      </w:r>
      <w:r w:rsidRPr="00F32A99">
        <w:rPr>
          <w:rFonts w:ascii="Times New Roman" w:hAnsi="Times New Roman" w:cs="Times New Roman"/>
          <w:color w:val="000000" w:themeColor="text1"/>
          <w:sz w:val="24"/>
          <w:szCs w:val="24"/>
        </w:rPr>
        <w:t xml:space="preserve"> в зависимости от периода наблюдения </w:t>
      </w:r>
    </w:p>
    <w:p w14:paraId="11F8096E" w14:textId="77777777" w:rsidR="0005338E" w:rsidRDefault="0005338E" w:rsidP="0005338E">
      <w:pPr>
        <w:shd w:val="clear" w:color="auto" w:fill="FFFFFF"/>
        <w:spacing w:line="480" w:lineRule="auto"/>
        <w:jc w:val="both"/>
        <w:rPr>
          <w:rFonts w:ascii="Times New Roman" w:hAnsi="Times New Roman" w:cs="Times New Roman"/>
          <w:color w:val="000000" w:themeColor="text1"/>
          <w:sz w:val="24"/>
          <w:szCs w:val="24"/>
        </w:rPr>
      </w:pPr>
    </w:p>
    <w:p w14:paraId="738E7B2D" w14:textId="77777777" w:rsidR="0005338E" w:rsidRDefault="0005338E" w:rsidP="0005338E">
      <w:pPr>
        <w:autoSpaceDE w:val="0"/>
        <w:autoSpaceDN w:val="0"/>
        <w:adjustRightInd w:val="0"/>
        <w:spacing w:after="0" w:line="400" w:lineRule="atLeast"/>
        <w:jc w:val="center"/>
        <w:rPr>
          <w:rFonts w:ascii="Times New Roman" w:hAnsi="Times New Roman" w:cs="Times New Roman"/>
          <w:b/>
          <w:sz w:val="24"/>
          <w:szCs w:val="24"/>
        </w:rPr>
      </w:pPr>
    </w:p>
    <w:p w14:paraId="3C1872B8" w14:textId="77777777" w:rsidR="0005338E" w:rsidRDefault="0005338E" w:rsidP="0005338E">
      <w:pPr>
        <w:rPr>
          <w:noProof/>
          <w:lang w:eastAsia="ru-RU"/>
        </w:rPr>
      </w:pPr>
    </w:p>
    <w:p w14:paraId="10F5E2F9" w14:textId="77777777" w:rsidR="0005338E" w:rsidRDefault="0005338E" w:rsidP="0005338E">
      <w:r>
        <w:rPr>
          <w:noProof/>
          <w:lang w:val="en-US" w:eastAsia="ru-RU"/>
        </w:rPr>
        <w:lastRenderedPageBreak/>
        <w:drawing>
          <wp:inline distT="0" distB="0" distL="0" distR="0" wp14:anchorId="7BA78DE6" wp14:editId="65FBB8C6">
            <wp:extent cx="5667632" cy="3583460"/>
            <wp:effectExtent l="0" t="0" r="9525" b="1714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4113409" w14:textId="77777777" w:rsidR="0005338E" w:rsidRPr="00E84F31" w:rsidRDefault="0005338E" w:rsidP="0005338E">
      <w:pPr>
        <w:rPr>
          <w:rFonts w:ascii="Times New Roman" w:hAnsi="Times New Roman" w:cs="Times New Roman"/>
          <w:sz w:val="24"/>
          <w:szCs w:val="24"/>
        </w:rPr>
      </w:pPr>
      <w:r w:rsidRPr="00E84F31">
        <w:rPr>
          <w:rFonts w:ascii="Times New Roman" w:hAnsi="Times New Roman" w:cs="Times New Roman"/>
          <w:b/>
          <w:sz w:val="24"/>
          <w:szCs w:val="24"/>
        </w:rPr>
        <w:t xml:space="preserve">Рисунок 2. </w:t>
      </w:r>
      <w:r w:rsidRPr="00E84F31">
        <w:rPr>
          <w:rFonts w:ascii="Times New Roman" w:hAnsi="Times New Roman" w:cs="Times New Roman"/>
          <w:sz w:val="24"/>
          <w:szCs w:val="24"/>
        </w:rPr>
        <w:t xml:space="preserve">Максимальная длительность эпизода фибрилляции предсердий при первичной </w:t>
      </w:r>
      <w:proofErr w:type="spellStart"/>
      <w:r w:rsidRPr="00E84F31">
        <w:rPr>
          <w:rFonts w:ascii="Times New Roman" w:hAnsi="Times New Roman" w:cs="Times New Roman"/>
          <w:sz w:val="24"/>
          <w:szCs w:val="24"/>
        </w:rPr>
        <w:t>детекции</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симптомных</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асимптомных</w:t>
      </w:r>
      <w:proofErr w:type="spellEnd"/>
      <w:r>
        <w:rPr>
          <w:rFonts w:ascii="Times New Roman" w:hAnsi="Times New Roman" w:cs="Times New Roman"/>
          <w:sz w:val="24"/>
          <w:szCs w:val="24"/>
        </w:rPr>
        <w:t xml:space="preserve"> пациентов</w:t>
      </w:r>
    </w:p>
    <w:p w14:paraId="63062558" w14:textId="77777777" w:rsidR="0005338E" w:rsidRDefault="0005338E" w:rsidP="0005338E">
      <w:pPr>
        <w:autoSpaceDE w:val="0"/>
        <w:autoSpaceDN w:val="0"/>
        <w:adjustRightInd w:val="0"/>
        <w:spacing w:after="0" w:line="360" w:lineRule="auto"/>
        <w:jc w:val="both"/>
        <w:rPr>
          <w:rFonts w:ascii="Times New Roman" w:hAnsi="Times New Roman" w:cs="Times New Roman"/>
          <w:b/>
          <w:sz w:val="24"/>
          <w:szCs w:val="24"/>
        </w:rPr>
      </w:pPr>
    </w:p>
    <w:p w14:paraId="7DD38645" w14:textId="77777777" w:rsidR="0005338E" w:rsidRDefault="0005338E" w:rsidP="0005338E">
      <w:pPr>
        <w:autoSpaceDE w:val="0"/>
        <w:autoSpaceDN w:val="0"/>
        <w:adjustRightInd w:val="0"/>
        <w:spacing w:after="0" w:line="360" w:lineRule="auto"/>
        <w:jc w:val="both"/>
        <w:rPr>
          <w:rFonts w:ascii="Times New Roman" w:hAnsi="Times New Roman" w:cs="Times New Roman"/>
          <w:b/>
          <w:sz w:val="24"/>
          <w:szCs w:val="24"/>
        </w:rPr>
      </w:pPr>
    </w:p>
    <w:p w14:paraId="36D2F516" w14:textId="77777777" w:rsidR="0005338E" w:rsidRDefault="0005338E" w:rsidP="0005338E">
      <w:pPr>
        <w:autoSpaceDE w:val="0"/>
        <w:autoSpaceDN w:val="0"/>
        <w:adjustRightInd w:val="0"/>
        <w:spacing w:after="0" w:line="360" w:lineRule="auto"/>
        <w:jc w:val="both"/>
        <w:rPr>
          <w:rFonts w:ascii="Times New Roman" w:hAnsi="Times New Roman" w:cs="Times New Roman"/>
          <w:b/>
          <w:sz w:val="24"/>
          <w:szCs w:val="24"/>
        </w:rPr>
      </w:pPr>
    </w:p>
    <w:p w14:paraId="561115BF" w14:textId="77777777" w:rsidR="0005338E" w:rsidRPr="00B62022" w:rsidRDefault="0005338E" w:rsidP="0005338E">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b/>
          <w:sz w:val="24"/>
          <w:szCs w:val="24"/>
        </w:rPr>
        <w:t xml:space="preserve">Таблица 4. </w:t>
      </w:r>
      <w:r w:rsidRPr="00B62022">
        <w:rPr>
          <w:rFonts w:ascii="Times New Roman" w:hAnsi="Times New Roman" w:cs="Times New Roman"/>
          <w:sz w:val="24"/>
          <w:szCs w:val="24"/>
        </w:rPr>
        <w:t>Факторы риска выявления ФП у пациентов с ЭКС</w:t>
      </w:r>
    </w:p>
    <w:p w14:paraId="687C2889" w14:textId="77777777" w:rsidR="0005338E" w:rsidRPr="00B62022" w:rsidRDefault="0005338E" w:rsidP="0005338E">
      <w:pPr>
        <w:autoSpaceDE w:val="0"/>
        <w:autoSpaceDN w:val="0"/>
        <w:adjustRightInd w:val="0"/>
        <w:spacing w:after="0" w:line="400" w:lineRule="atLeast"/>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2230"/>
        <w:gridCol w:w="1710"/>
        <w:gridCol w:w="1774"/>
        <w:gridCol w:w="1384"/>
        <w:gridCol w:w="836"/>
        <w:gridCol w:w="907"/>
        <w:gridCol w:w="1013"/>
      </w:tblGrid>
      <w:tr w:rsidR="0005338E" w14:paraId="21AB64B5" w14:textId="77777777" w:rsidTr="00273B45">
        <w:tc>
          <w:tcPr>
            <w:tcW w:w="0" w:type="auto"/>
          </w:tcPr>
          <w:p w14:paraId="7E2BFC0A" w14:textId="77777777" w:rsidR="0005338E" w:rsidRDefault="0005338E" w:rsidP="00273B45">
            <w:pPr>
              <w:jc w:val="center"/>
              <w:rPr>
                <w:rFonts w:ascii="Times New Roman" w:hAnsi="Times New Roman" w:cs="Times New Roman"/>
                <w:sz w:val="24"/>
              </w:rPr>
            </w:pPr>
            <w:r>
              <w:rPr>
                <w:rFonts w:ascii="Times New Roman" w:hAnsi="Times New Roman" w:cs="Times New Roman"/>
                <w:sz w:val="24"/>
              </w:rPr>
              <w:t>Фактор риска</w:t>
            </w:r>
          </w:p>
        </w:tc>
        <w:tc>
          <w:tcPr>
            <w:tcW w:w="0" w:type="auto"/>
          </w:tcPr>
          <w:p w14:paraId="7870F787" w14:textId="77777777" w:rsidR="0005338E" w:rsidRPr="007D4010" w:rsidRDefault="0005338E" w:rsidP="00273B45">
            <w:pPr>
              <w:jc w:val="center"/>
              <w:rPr>
                <w:rFonts w:ascii="Times New Roman" w:hAnsi="Times New Roman" w:cs="Times New Roman"/>
                <w:sz w:val="24"/>
              </w:rPr>
            </w:pPr>
            <w:r>
              <w:rPr>
                <w:rFonts w:ascii="Times New Roman" w:hAnsi="Times New Roman" w:cs="Times New Roman"/>
                <w:sz w:val="24"/>
              </w:rPr>
              <w:t>Коэффициент (B)</w:t>
            </w:r>
          </w:p>
        </w:tc>
        <w:tc>
          <w:tcPr>
            <w:tcW w:w="0" w:type="auto"/>
          </w:tcPr>
          <w:p w14:paraId="20D4E577" w14:textId="77777777" w:rsidR="0005338E" w:rsidRPr="007D4010" w:rsidRDefault="0005338E" w:rsidP="00273B45">
            <w:pPr>
              <w:jc w:val="center"/>
              <w:rPr>
                <w:rFonts w:ascii="Times New Roman" w:hAnsi="Times New Roman" w:cs="Times New Roman"/>
                <w:sz w:val="24"/>
              </w:rPr>
            </w:pPr>
            <w:r>
              <w:rPr>
                <w:rFonts w:ascii="Times New Roman" w:hAnsi="Times New Roman" w:cs="Times New Roman"/>
                <w:sz w:val="24"/>
              </w:rPr>
              <w:t>Стандартная ошибка (SE)</w:t>
            </w:r>
          </w:p>
        </w:tc>
        <w:tc>
          <w:tcPr>
            <w:tcW w:w="1384" w:type="dxa"/>
          </w:tcPr>
          <w:p w14:paraId="2273BD9B" w14:textId="77777777" w:rsidR="0005338E" w:rsidRDefault="0005338E" w:rsidP="00273B45">
            <w:pPr>
              <w:jc w:val="center"/>
              <w:rPr>
                <w:rFonts w:ascii="Times New Roman" w:hAnsi="Times New Roman" w:cs="Times New Roman"/>
                <w:sz w:val="24"/>
              </w:rPr>
            </w:pPr>
            <w:r>
              <w:rPr>
                <w:rFonts w:ascii="Times New Roman" w:hAnsi="Times New Roman" w:cs="Times New Roman"/>
                <w:sz w:val="24"/>
              </w:rPr>
              <w:t xml:space="preserve">Статистика критерия </w:t>
            </w:r>
            <w:proofErr w:type="spellStart"/>
            <w:r>
              <w:rPr>
                <w:rFonts w:ascii="Times New Roman" w:hAnsi="Times New Roman" w:cs="Times New Roman"/>
                <w:sz w:val="24"/>
              </w:rPr>
              <w:t>Вальда</w:t>
            </w:r>
            <w:proofErr w:type="spellEnd"/>
          </w:p>
        </w:tc>
        <w:tc>
          <w:tcPr>
            <w:tcW w:w="836" w:type="dxa"/>
          </w:tcPr>
          <w:p w14:paraId="4D3D9FB3" w14:textId="77777777" w:rsidR="0005338E" w:rsidRDefault="0005338E" w:rsidP="00273B45">
            <w:pPr>
              <w:jc w:val="center"/>
              <w:rPr>
                <w:rFonts w:ascii="Times New Roman" w:hAnsi="Times New Roman" w:cs="Times New Roman"/>
                <w:sz w:val="24"/>
              </w:rPr>
            </w:pPr>
            <w:r>
              <w:rPr>
                <w:rFonts w:ascii="Times New Roman" w:hAnsi="Times New Roman" w:cs="Times New Roman"/>
                <w:sz w:val="24"/>
              </w:rPr>
              <w:t>ОР</w:t>
            </w:r>
          </w:p>
          <w:p w14:paraId="50247F4D" w14:textId="77777777" w:rsidR="0005338E" w:rsidRPr="00873B89" w:rsidRDefault="0005338E" w:rsidP="00273B45">
            <w:pPr>
              <w:jc w:val="center"/>
              <w:rPr>
                <w:rFonts w:ascii="Times New Roman" w:hAnsi="Times New Roman" w:cs="Times New Roman"/>
                <w:sz w:val="24"/>
              </w:rPr>
            </w:pPr>
            <w:proofErr w:type="spellStart"/>
            <w:r>
              <w:rPr>
                <w:rFonts w:ascii="Times New Roman" w:hAnsi="Times New Roman" w:cs="Times New Roman"/>
                <w:sz w:val="24"/>
              </w:rPr>
              <w:t>Exp</w:t>
            </w:r>
            <w:proofErr w:type="spellEnd"/>
            <w:r>
              <w:rPr>
                <w:rFonts w:ascii="Times New Roman" w:hAnsi="Times New Roman" w:cs="Times New Roman"/>
                <w:sz w:val="24"/>
              </w:rPr>
              <w:t xml:space="preserve"> (B)</w:t>
            </w:r>
          </w:p>
        </w:tc>
        <w:tc>
          <w:tcPr>
            <w:tcW w:w="0" w:type="auto"/>
          </w:tcPr>
          <w:p w14:paraId="23348EAE" w14:textId="77777777" w:rsidR="0005338E" w:rsidRDefault="0005338E" w:rsidP="00273B45">
            <w:pPr>
              <w:jc w:val="center"/>
              <w:rPr>
                <w:rFonts w:ascii="Times New Roman" w:hAnsi="Times New Roman" w:cs="Times New Roman"/>
                <w:sz w:val="24"/>
              </w:rPr>
            </w:pPr>
            <w:r>
              <w:rPr>
                <w:rFonts w:ascii="Times New Roman" w:hAnsi="Times New Roman" w:cs="Times New Roman"/>
                <w:sz w:val="24"/>
              </w:rPr>
              <w:t>95% ДИ</w:t>
            </w:r>
          </w:p>
        </w:tc>
        <w:tc>
          <w:tcPr>
            <w:tcW w:w="0" w:type="auto"/>
          </w:tcPr>
          <w:p w14:paraId="32527DA8" w14:textId="77777777" w:rsidR="0005338E" w:rsidRDefault="0005338E" w:rsidP="00273B45">
            <w:pPr>
              <w:jc w:val="center"/>
              <w:rPr>
                <w:rFonts w:ascii="Times New Roman" w:hAnsi="Times New Roman" w:cs="Times New Roman"/>
                <w:sz w:val="24"/>
              </w:rPr>
            </w:pPr>
            <w:r>
              <w:rPr>
                <w:rFonts w:ascii="Times New Roman" w:hAnsi="Times New Roman" w:cs="Times New Roman"/>
                <w:sz w:val="24"/>
              </w:rPr>
              <w:t>р</w:t>
            </w:r>
          </w:p>
        </w:tc>
      </w:tr>
      <w:tr w:rsidR="0005338E" w14:paraId="7F593F08" w14:textId="77777777" w:rsidTr="00273B45">
        <w:tc>
          <w:tcPr>
            <w:tcW w:w="0" w:type="auto"/>
          </w:tcPr>
          <w:p w14:paraId="474342F4" w14:textId="77777777" w:rsidR="0005338E" w:rsidRDefault="0005338E" w:rsidP="00273B45">
            <w:pPr>
              <w:jc w:val="center"/>
              <w:rPr>
                <w:rFonts w:ascii="Times New Roman" w:hAnsi="Times New Roman" w:cs="Times New Roman"/>
                <w:sz w:val="24"/>
              </w:rPr>
            </w:pPr>
            <w:r>
              <w:rPr>
                <w:rFonts w:ascii="Times New Roman" w:hAnsi="Times New Roman" w:cs="Times New Roman"/>
                <w:sz w:val="24"/>
              </w:rPr>
              <w:t>ОНМК/ТЭО в анамнезе</w:t>
            </w:r>
          </w:p>
        </w:tc>
        <w:tc>
          <w:tcPr>
            <w:tcW w:w="0" w:type="auto"/>
          </w:tcPr>
          <w:p w14:paraId="7A6C6440" w14:textId="77777777" w:rsidR="0005338E" w:rsidRPr="00693756" w:rsidRDefault="0005338E" w:rsidP="00273B45">
            <w:pPr>
              <w:jc w:val="center"/>
              <w:rPr>
                <w:rFonts w:ascii="Times New Roman" w:hAnsi="Times New Roman" w:cs="Times New Roman"/>
                <w:sz w:val="24"/>
              </w:rPr>
            </w:pPr>
            <w:r>
              <w:rPr>
                <w:rFonts w:ascii="Times New Roman" w:hAnsi="Times New Roman" w:cs="Times New Roman"/>
                <w:sz w:val="24"/>
              </w:rPr>
              <w:t>1,552</w:t>
            </w:r>
          </w:p>
        </w:tc>
        <w:tc>
          <w:tcPr>
            <w:tcW w:w="0" w:type="auto"/>
          </w:tcPr>
          <w:p w14:paraId="2B4EF4BF" w14:textId="77777777" w:rsidR="0005338E" w:rsidRPr="00FA61FD" w:rsidRDefault="0005338E" w:rsidP="00273B45">
            <w:pPr>
              <w:jc w:val="center"/>
              <w:rPr>
                <w:rFonts w:ascii="Times New Roman" w:hAnsi="Times New Roman" w:cs="Times New Roman"/>
                <w:sz w:val="24"/>
              </w:rPr>
            </w:pPr>
            <w:r>
              <w:rPr>
                <w:rFonts w:ascii="Times New Roman" w:hAnsi="Times New Roman" w:cs="Times New Roman"/>
                <w:sz w:val="24"/>
              </w:rPr>
              <w:t>0,371</w:t>
            </w:r>
          </w:p>
        </w:tc>
        <w:tc>
          <w:tcPr>
            <w:tcW w:w="1384" w:type="dxa"/>
          </w:tcPr>
          <w:p w14:paraId="0F1002DB" w14:textId="77777777" w:rsidR="0005338E" w:rsidRDefault="0005338E" w:rsidP="00273B45">
            <w:pPr>
              <w:jc w:val="center"/>
              <w:rPr>
                <w:rFonts w:ascii="Times New Roman" w:hAnsi="Times New Roman" w:cs="Times New Roman"/>
                <w:sz w:val="24"/>
              </w:rPr>
            </w:pPr>
            <w:r>
              <w:rPr>
                <w:rFonts w:ascii="Times New Roman" w:hAnsi="Times New Roman" w:cs="Times New Roman"/>
                <w:sz w:val="24"/>
              </w:rPr>
              <w:t>17,458</w:t>
            </w:r>
          </w:p>
        </w:tc>
        <w:tc>
          <w:tcPr>
            <w:tcW w:w="836" w:type="dxa"/>
          </w:tcPr>
          <w:p w14:paraId="744A3943" w14:textId="77777777" w:rsidR="0005338E" w:rsidRPr="007D4010" w:rsidRDefault="0005338E" w:rsidP="00273B45">
            <w:pPr>
              <w:jc w:val="center"/>
              <w:rPr>
                <w:rFonts w:ascii="Times New Roman" w:hAnsi="Times New Roman" w:cs="Times New Roman"/>
                <w:b/>
                <w:sz w:val="24"/>
              </w:rPr>
            </w:pPr>
            <w:r>
              <w:rPr>
                <w:rFonts w:ascii="Times New Roman" w:hAnsi="Times New Roman" w:cs="Times New Roman"/>
                <w:b/>
                <w:sz w:val="24"/>
              </w:rPr>
              <w:t>4</w:t>
            </w:r>
            <w:r w:rsidRPr="007D4010">
              <w:rPr>
                <w:rFonts w:ascii="Times New Roman" w:hAnsi="Times New Roman" w:cs="Times New Roman"/>
                <w:b/>
                <w:sz w:val="24"/>
              </w:rPr>
              <w:t>,</w:t>
            </w:r>
            <w:r>
              <w:rPr>
                <w:rFonts w:ascii="Times New Roman" w:hAnsi="Times New Roman" w:cs="Times New Roman"/>
                <w:b/>
                <w:sz w:val="24"/>
              </w:rPr>
              <w:t>719</w:t>
            </w:r>
          </w:p>
        </w:tc>
        <w:tc>
          <w:tcPr>
            <w:tcW w:w="0" w:type="auto"/>
          </w:tcPr>
          <w:p w14:paraId="5E83B7E6" w14:textId="77777777" w:rsidR="0005338E" w:rsidRDefault="0005338E" w:rsidP="00273B45">
            <w:pPr>
              <w:jc w:val="center"/>
              <w:rPr>
                <w:rFonts w:ascii="Times New Roman" w:hAnsi="Times New Roman" w:cs="Times New Roman"/>
                <w:sz w:val="24"/>
              </w:rPr>
            </w:pPr>
            <w:r>
              <w:rPr>
                <w:rFonts w:ascii="Times New Roman" w:hAnsi="Times New Roman" w:cs="Times New Roman"/>
                <w:sz w:val="24"/>
              </w:rPr>
              <w:t>2,279 – 9,77</w:t>
            </w:r>
          </w:p>
        </w:tc>
        <w:tc>
          <w:tcPr>
            <w:tcW w:w="0" w:type="auto"/>
          </w:tcPr>
          <w:p w14:paraId="7E32D66E" w14:textId="77777777" w:rsidR="0005338E" w:rsidRPr="007D4010" w:rsidRDefault="0005338E" w:rsidP="00273B45">
            <w:pPr>
              <w:jc w:val="center"/>
              <w:rPr>
                <w:rFonts w:ascii="Times New Roman" w:hAnsi="Times New Roman" w:cs="Times New Roman"/>
                <w:b/>
                <w:sz w:val="24"/>
              </w:rPr>
            </w:pPr>
            <w:r>
              <w:rPr>
                <w:rFonts w:ascii="Times New Roman" w:hAnsi="Times New Roman" w:cs="Times New Roman"/>
                <w:b/>
                <w:sz w:val="24"/>
              </w:rPr>
              <w:t>&lt;</w:t>
            </w:r>
            <w:r w:rsidRPr="007D4010">
              <w:rPr>
                <w:rFonts w:ascii="Times New Roman" w:hAnsi="Times New Roman" w:cs="Times New Roman"/>
                <w:b/>
                <w:sz w:val="24"/>
              </w:rPr>
              <w:t>0,0</w:t>
            </w:r>
            <w:r>
              <w:rPr>
                <w:rFonts w:ascii="Times New Roman" w:hAnsi="Times New Roman" w:cs="Times New Roman"/>
                <w:b/>
                <w:sz w:val="24"/>
              </w:rPr>
              <w:t>0</w:t>
            </w:r>
            <w:r w:rsidRPr="007D4010">
              <w:rPr>
                <w:rFonts w:ascii="Times New Roman" w:hAnsi="Times New Roman" w:cs="Times New Roman"/>
                <w:b/>
                <w:sz w:val="24"/>
              </w:rPr>
              <w:t>01</w:t>
            </w:r>
          </w:p>
        </w:tc>
      </w:tr>
      <w:tr w:rsidR="0005338E" w14:paraId="4780E1DA" w14:textId="77777777" w:rsidTr="00273B45">
        <w:tc>
          <w:tcPr>
            <w:tcW w:w="0" w:type="auto"/>
          </w:tcPr>
          <w:p w14:paraId="1DD40687" w14:textId="77777777" w:rsidR="0005338E" w:rsidRDefault="0005338E" w:rsidP="00273B45">
            <w:pPr>
              <w:jc w:val="center"/>
              <w:rPr>
                <w:rFonts w:ascii="Times New Roman" w:hAnsi="Times New Roman" w:cs="Times New Roman"/>
                <w:sz w:val="24"/>
              </w:rPr>
            </w:pPr>
            <w:r>
              <w:rPr>
                <w:rFonts w:ascii="Times New Roman" w:hAnsi="Times New Roman" w:cs="Times New Roman"/>
                <w:sz w:val="24"/>
              </w:rPr>
              <w:t>ИОЛП (норма/увеличен)</w:t>
            </w:r>
          </w:p>
        </w:tc>
        <w:tc>
          <w:tcPr>
            <w:tcW w:w="0" w:type="auto"/>
          </w:tcPr>
          <w:p w14:paraId="6A0B1CD1" w14:textId="77777777" w:rsidR="0005338E" w:rsidRPr="00FA61FD" w:rsidRDefault="0005338E" w:rsidP="00273B45">
            <w:pPr>
              <w:jc w:val="center"/>
              <w:rPr>
                <w:rFonts w:ascii="Times New Roman" w:hAnsi="Times New Roman" w:cs="Times New Roman"/>
                <w:sz w:val="24"/>
              </w:rPr>
            </w:pPr>
            <w:r>
              <w:rPr>
                <w:rFonts w:ascii="Times New Roman" w:hAnsi="Times New Roman" w:cs="Times New Roman"/>
                <w:sz w:val="24"/>
              </w:rPr>
              <w:t>0,726</w:t>
            </w:r>
          </w:p>
        </w:tc>
        <w:tc>
          <w:tcPr>
            <w:tcW w:w="0" w:type="auto"/>
          </w:tcPr>
          <w:p w14:paraId="475D6B79" w14:textId="77777777" w:rsidR="0005338E" w:rsidRPr="00FA61FD" w:rsidRDefault="0005338E" w:rsidP="00273B45">
            <w:pPr>
              <w:jc w:val="center"/>
              <w:rPr>
                <w:rFonts w:ascii="Times New Roman" w:hAnsi="Times New Roman" w:cs="Times New Roman"/>
                <w:sz w:val="24"/>
              </w:rPr>
            </w:pPr>
            <w:r>
              <w:rPr>
                <w:rFonts w:ascii="Times New Roman" w:hAnsi="Times New Roman" w:cs="Times New Roman"/>
                <w:sz w:val="24"/>
              </w:rPr>
              <w:t>0,334</w:t>
            </w:r>
          </w:p>
        </w:tc>
        <w:tc>
          <w:tcPr>
            <w:tcW w:w="1384" w:type="dxa"/>
          </w:tcPr>
          <w:p w14:paraId="65F0C9DC" w14:textId="77777777" w:rsidR="0005338E" w:rsidRDefault="0005338E" w:rsidP="00273B45">
            <w:pPr>
              <w:jc w:val="center"/>
              <w:rPr>
                <w:rFonts w:ascii="Times New Roman" w:hAnsi="Times New Roman" w:cs="Times New Roman"/>
                <w:sz w:val="24"/>
              </w:rPr>
            </w:pPr>
            <w:r>
              <w:rPr>
                <w:rFonts w:ascii="Times New Roman" w:hAnsi="Times New Roman" w:cs="Times New Roman"/>
                <w:sz w:val="24"/>
              </w:rPr>
              <w:t>4,744</w:t>
            </w:r>
          </w:p>
        </w:tc>
        <w:tc>
          <w:tcPr>
            <w:tcW w:w="836" w:type="dxa"/>
          </w:tcPr>
          <w:p w14:paraId="617CF302" w14:textId="77777777" w:rsidR="0005338E" w:rsidRPr="007D4010" w:rsidRDefault="0005338E" w:rsidP="00273B45">
            <w:pPr>
              <w:jc w:val="center"/>
              <w:rPr>
                <w:rFonts w:ascii="Times New Roman" w:hAnsi="Times New Roman" w:cs="Times New Roman"/>
                <w:b/>
                <w:sz w:val="24"/>
              </w:rPr>
            </w:pPr>
            <w:r>
              <w:rPr>
                <w:rFonts w:ascii="Times New Roman" w:hAnsi="Times New Roman" w:cs="Times New Roman"/>
                <w:b/>
                <w:sz w:val="24"/>
              </w:rPr>
              <w:t>2</w:t>
            </w:r>
            <w:r w:rsidRPr="007D4010">
              <w:rPr>
                <w:rFonts w:ascii="Times New Roman" w:hAnsi="Times New Roman" w:cs="Times New Roman"/>
                <w:b/>
                <w:sz w:val="24"/>
              </w:rPr>
              <w:t>,</w:t>
            </w:r>
            <w:r>
              <w:rPr>
                <w:rFonts w:ascii="Times New Roman" w:hAnsi="Times New Roman" w:cs="Times New Roman"/>
                <w:b/>
                <w:sz w:val="24"/>
              </w:rPr>
              <w:t>068</w:t>
            </w:r>
          </w:p>
        </w:tc>
        <w:tc>
          <w:tcPr>
            <w:tcW w:w="0" w:type="auto"/>
          </w:tcPr>
          <w:p w14:paraId="118377C2" w14:textId="77777777" w:rsidR="0005338E" w:rsidRDefault="0005338E" w:rsidP="00273B45">
            <w:pPr>
              <w:jc w:val="center"/>
              <w:rPr>
                <w:rFonts w:ascii="Times New Roman" w:hAnsi="Times New Roman" w:cs="Times New Roman"/>
                <w:sz w:val="24"/>
              </w:rPr>
            </w:pPr>
            <w:r>
              <w:rPr>
                <w:rFonts w:ascii="Times New Roman" w:hAnsi="Times New Roman" w:cs="Times New Roman"/>
                <w:sz w:val="24"/>
              </w:rPr>
              <w:t>1,075 – 3,975</w:t>
            </w:r>
          </w:p>
        </w:tc>
        <w:tc>
          <w:tcPr>
            <w:tcW w:w="0" w:type="auto"/>
          </w:tcPr>
          <w:p w14:paraId="7B9613C2" w14:textId="77777777" w:rsidR="0005338E" w:rsidRPr="007D4010" w:rsidRDefault="0005338E" w:rsidP="00273B45">
            <w:pPr>
              <w:jc w:val="center"/>
              <w:rPr>
                <w:rFonts w:ascii="Times New Roman" w:hAnsi="Times New Roman" w:cs="Times New Roman"/>
                <w:b/>
                <w:sz w:val="24"/>
              </w:rPr>
            </w:pPr>
            <w:r w:rsidRPr="007D4010">
              <w:rPr>
                <w:rFonts w:ascii="Times New Roman" w:hAnsi="Times New Roman" w:cs="Times New Roman"/>
                <w:b/>
                <w:sz w:val="24"/>
              </w:rPr>
              <w:t>0,0</w:t>
            </w:r>
            <w:r>
              <w:rPr>
                <w:rFonts w:ascii="Times New Roman" w:hAnsi="Times New Roman" w:cs="Times New Roman"/>
                <w:b/>
                <w:sz w:val="24"/>
              </w:rPr>
              <w:t>29</w:t>
            </w:r>
          </w:p>
        </w:tc>
      </w:tr>
      <w:tr w:rsidR="0005338E" w14:paraId="1FFAD412" w14:textId="77777777" w:rsidTr="00273B45">
        <w:tc>
          <w:tcPr>
            <w:tcW w:w="0" w:type="auto"/>
          </w:tcPr>
          <w:p w14:paraId="36654316" w14:textId="77777777" w:rsidR="0005338E" w:rsidRDefault="0005338E" w:rsidP="00273B45">
            <w:pPr>
              <w:jc w:val="center"/>
              <w:rPr>
                <w:rFonts w:ascii="Times New Roman" w:hAnsi="Times New Roman" w:cs="Times New Roman"/>
                <w:sz w:val="24"/>
              </w:rPr>
            </w:pPr>
            <w:r>
              <w:rPr>
                <w:rFonts w:ascii="Times New Roman" w:hAnsi="Times New Roman" w:cs="Times New Roman"/>
                <w:sz w:val="24"/>
              </w:rPr>
              <w:t>Гемоглобин (норма/снижен)</w:t>
            </w:r>
          </w:p>
        </w:tc>
        <w:tc>
          <w:tcPr>
            <w:tcW w:w="0" w:type="auto"/>
          </w:tcPr>
          <w:p w14:paraId="65CB6321" w14:textId="77777777" w:rsidR="0005338E" w:rsidRPr="00502475" w:rsidRDefault="0005338E" w:rsidP="00273B45">
            <w:pPr>
              <w:jc w:val="center"/>
              <w:rPr>
                <w:rFonts w:ascii="Times New Roman" w:hAnsi="Times New Roman" w:cs="Times New Roman"/>
                <w:sz w:val="24"/>
              </w:rPr>
            </w:pPr>
            <w:r>
              <w:rPr>
                <w:rFonts w:ascii="Times New Roman" w:hAnsi="Times New Roman" w:cs="Times New Roman"/>
                <w:sz w:val="24"/>
              </w:rPr>
              <w:t>0,948</w:t>
            </w:r>
          </w:p>
        </w:tc>
        <w:tc>
          <w:tcPr>
            <w:tcW w:w="0" w:type="auto"/>
          </w:tcPr>
          <w:p w14:paraId="46A6D569" w14:textId="77777777" w:rsidR="0005338E" w:rsidRPr="00502475" w:rsidRDefault="0005338E" w:rsidP="00273B45">
            <w:pPr>
              <w:jc w:val="center"/>
              <w:rPr>
                <w:rFonts w:ascii="Times New Roman" w:hAnsi="Times New Roman" w:cs="Times New Roman"/>
                <w:sz w:val="24"/>
              </w:rPr>
            </w:pPr>
            <w:r>
              <w:rPr>
                <w:rFonts w:ascii="Times New Roman" w:hAnsi="Times New Roman" w:cs="Times New Roman"/>
                <w:sz w:val="24"/>
              </w:rPr>
              <w:t>0,372</w:t>
            </w:r>
          </w:p>
        </w:tc>
        <w:tc>
          <w:tcPr>
            <w:tcW w:w="1384" w:type="dxa"/>
          </w:tcPr>
          <w:p w14:paraId="0955F09E" w14:textId="77777777" w:rsidR="0005338E" w:rsidRDefault="0005338E" w:rsidP="00273B45">
            <w:pPr>
              <w:jc w:val="center"/>
              <w:rPr>
                <w:rFonts w:ascii="Times New Roman" w:hAnsi="Times New Roman" w:cs="Times New Roman"/>
                <w:sz w:val="24"/>
              </w:rPr>
            </w:pPr>
            <w:r>
              <w:rPr>
                <w:rFonts w:ascii="Times New Roman" w:hAnsi="Times New Roman" w:cs="Times New Roman"/>
                <w:sz w:val="24"/>
              </w:rPr>
              <w:t>6,493</w:t>
            </w:r>
          </w:p>
        </w:tc>
        <w:tc>
          <w:tcPr>
            <w:tcW w:w="836" w:type="dxa"/>
          </w:tcPr>
          <w:p w14:paraId="40FC9E36" w14:textId="77777777" w:rsidR="0005338E" w:rsidRPr="00BB6346" w:rsidRDefault="0005338E" w:rsidP="00273B45">
            <w:pPr>
              <w:jc w:val="center"/>
              <w:rPr>
                <w:rFonts w:ascii="Times New Roman" w:hAnsi="Times New Roman" w:cs="Times New Roman"/>
                <w:b/>
                <w:sz w:val="24"/>
              </w:rPr>
            </w:pPr>
            <w:r>
              <w:rPr>
                <w:rFonts w:ascii="Times New Roman" w:hAnsi="Times New Roman" w:cs="Times New Roman"/>
                <w:b/>
                <w:sz w:val="24"/>
              </w:rPr>
              <w:t>2</w:t>
            </w:r>
            <w:r w:rsidRPr="007D4010">
              <w:rPr>
                <w:rFonts w:ascii="Times New Roman" w:hAnsi="Times New Roman" w:cs="Times New Roman"/>
                <w:b/>
                <w:sz w:val="24"/>
              </w:rPr>
              <w:t>,</w:t>
            </w:r>
            <w:r>
              <w:rPr>
                <w:rFonts w:ascii="Times New Roman" w:hAnsi="Times New Roman" w:cs="Times New Roman"/>
                <w:b/>
                <w:sz w:val="24"/>
              </w:rPr>
              <w:t>58</w:t>
            </w:r>
          </w:p>
        </w:tc>
        <w:tc>
          <w:tcPr>
            <w:tcW w:w="0" w:type="auto"/>
          </w:tcPr>
          <w:p w14:paraId="364E5C07" w14:textId="77777777" w:rsidR="0005338E" w:rsidRPr="00BB6346" w:rsidRDefault="0005338E" w:rsidP="00273B45">
            <w:pPr>
              <w:jc w:val="center"/>
              <w:rPr>
                <w:rFonts w:ascii="Times New Roman" w:hAnsi="Times New Roman" w:cs="Times New Roman"/>
                <w:sz w:val="24"/>
              </w:rPr>
            </w:pPr>
            <w:r>
              <w:rPr>
                <w:rFonts w:ascii="Times New Roman" w:hAnsi="Times New Roman" w:cs="Times New Roman"/>
                <w:sz w:val="24"/>
              </w:rPr>
              <w:t>1,245 – 5,35</w:t>
            </w:r>
          </w:p>
        </w:tc>
        <w:tc>
          <w:tcPr>
            <w:tcW w:w="0" w:type="auto"/>
          </w:tcPr>
          <w:p w14:paraId="772D4D49" w14:textId="77777777" w:rsidR="0005338E" w:rsidRPr="007D4010" w:rsidRDefault="0005338E" w:rsidP="00273B45">
            <w:pPr>
              <w:jc w:val="center"/>
              <w:rPr>
                <w:rFonts w:ascii="Times New Roman" w:hAnsi="Times New Roman" w:cs="Times New Roman"/>
                <w:b/>
                <w:sz w:val="24"/>
              </w:rPr>
            </w:pPr>
            <w:r w:rsidRPr="007D4010">
              <w:rPr>
                <w:rFonts w:ascii="Times New Roman" w:hAnsi="Times New Roman" w:cs="Times New Roman"/>
                <w:b/>
                <w:sz w:val="24"/>
              </w:rPr>
              <w:t>0,0</w:t>
            </w:r>
            <w:r>
              <w:rPr>
                <w:rFonts w:ascii="Times New Roman" w:hAnsi="Times New Roman" w:cs="Times New Roman"/>
                <w:b/>
                <w:sz w:val="24"/>
              </w:rPr>
              <w:t>11</w:t>
            </w:r>
          </w:p>
        </w:tc>
      </w:tr>
    </w:tbl>
    <w:p w14:paraId="74A67567" w14:textId="77777777" w:rsidR="0005338E" w:rsidRPr="0005338E" w:rsidRDefault="0005338E" w:rsidP="0005338E">
      <w:pPr>
        <w:shd w:val="clear" w:color="auto" w:fill="FFFFFF"/>
        <w:spacing w:line="240" w:lineRule="auto"/>
        <w:jc w:val="both"/>
        <w:rPr>
          <w:rFonts w:ascii="Times New Roman" w:hAnsi="Times New Roman" w:cs="Times New Roman"/>
          <w:color w:val="000000" w:themeColor="text1"/>
          <w:sz w:val="24"/>
          <w:szCs w:val="24"/>
        </w:rPr>
      </w:pPr>
      <w:r w:rsidRPr="0005338E">
        <w:rPr>
          <w:rFonts w:ascii="Times New Roman" w:hAnsi="Times New Roman" w:cs="Times New Roman"/>
          <w:color w:val="000000" w:themeColor="text1"/>
          <w:sz w:val="24"/>
          <w:szCs w:val="24"/>
        </w:rPr>
        <w:t xml:space="preserve">Примечания: </w:t>
      </w:r>
      <w:r>
        <w:rPr>
          <w:rFonts w:ascii="Times New Roman" w:hAnsi="Times New Roman" w:cs="Times New Roman"/>
          <w:color w:val="000000" w:themeColor="text1"/>
          <w:sz w:val="24"/>
          <w:szCs w:val="24"/>
        </w:rPr>
        <w:t>ОНМК – острое нарушение мозгового кровообращения; ТЭО – тромбоэмболические осложнения; ИОЛП – индекс объёма левого предсердия.</w:t>
      </w:r>
    </w:p>
    <w:p w14:paraId="30F2D978" w14:textId="77777777" w:rsidR="0005338E" w:rsidRDefault="0005338E" w:rsidP="0005338E">
      <w:pPr>
        <w:shd w:val="clear" w:color="auto" w:fill="FFFFFF"/>
        <w:spacing w:line="480" w:lineRule="auto"/>
        <w:jc w:val="both"/>
        <w:rPr>
          <w:rFonts w:ascii="Times New Roman" w:hAnsi="Times New Roman" w:cs="Times New Roman"/>
          <w:b/>
          <w:color w:val="000000" w:themeColor="text1"/>
          <w:sz w:val="24"/>
          <w:szCs w:val="24"/>
        </w:rPr>
      </w:pPr>
    </w:p>
    <w:p w14:paraId="6F8D9D8B" w14:textId="77777777" w:rsidR="0005338E" w:rsidRDefault="0005338E" w:rsidP="0005338E">
      <w:pPr>
        <w:shd w:val="clear" w:color="auto" w:fill="FFFFFF"/>
        <w:spacing w:line="480" w:lineRule="auto"/>
        <w:jc w:val="both"/>
        <w:rPr>
          <w:rFonts w:ascii="Times New Roman" w:hAnsi="Times New Roman" w:cs="Times New Roman"/>
          <w:b/>
          <w:color w:val="000000" w:themeColor="text1"/>
          <w:sz w:val="24"/>
          <w:szCs w:val="24"/>
        </w:rPr>
      </w:pPr>
    </w:p>
    <w:p w14:paraId="26E1CC3E" w14:textId="77777777" w:rsidR="0005338E" w:rsidRPr="0005338E" w:rsidRDefault="0005338E" w:rsidP="0005338E">
      <w:pPr>
        <w:shd w:val="clear" w:color="auto" w:fill="FFFFFF"/>
        <w:spacing w:before="90" w:after="90" w:line="360" w:lineRule="auto"/>
        <w:outlineLvl w:val="0"/>
        <w:rPr>
          <w:rFonts w:ascii="Times New Roman" w:hAnsi="Times New Roman"/>
          <w:bCs/>
          <w:color w:val="000000" w:themeColor="text1"/>
          <w:kern w:val="36"/>
          <w:sz w:val="28"/>
          <w:szCs w:val="28"/>
        </w:rPr>
      </w:pPr>
    </w:p>
    <w:p w14:paraId="3F652BFB" w14:textId="77777777" w:rsidR="0005338E" w:rsidRPr="0005338E" w:rsidRDefault="0005338E" w:rsidP="0005338E">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14:paraId="275524A3" w14:textId="77777777" w:rsidR="0005338E" w:rsidRPr="0005338E" w:rsidRDefault="0005338E" w:rsidP="0005338E">
      <w:pPr>
        <w:spacing w:before="100" w:beforeAutospacing="1" w:after="100" w:afterAutospacing="1" w:line="360" w:lineRule="auto"/>
        <w:ind w:firstLine="720"/>
        <w:jc w:val="both"/>
        <w:rPr>
          <w:rFonts w:ascii="Times New Roman" w:hAnsi="Times New Roman" w:cs="Times New Roman"/>
          <w:color w:val="000000" w:themeColor="text1"/>
          <w:sz w:val="28"/>
          <w:szCs w:val="28"/>
        </w:rPr>
      </w:pPr>
    </w:p>
    <w:p w14:paraId="086B3CA3" w14:textId="77777777" w:rsidR="0005338E" w:rsidRPr="0005338E" w:rsidRDefault="0005338E" w:rsidP="0005338E">
      <w:pPr>
        <w:pStyle w:val="a3"/>
        <w:spacing w:line="360" w:lineRule="auto"/>
        <w:ind w:left="0" w:firstLine="720"/>
        <w:jc w:val="both"/>
        <w:rPr>
          <w:rFonts w:ascii="Times New Roman" w:hAnsi="Times New Roman"/>
          <w:sz w:val="24"/>
          <w:szCs w:val="24"/>
        </w:rPr>
      </w:pPr>
    </w:p>
    <w:p w14:paraId="1501EE44" w14:textId="77777777" w:rsidR="0005338E" w:rsidRPr="0005338E" w:rsidRDefault="0005338E" w:rsidP="0005338E">
      <w:pPr>
        <w:spacing w:line="360" w:lineRule="auto"/>
        <w:rPr>
          <w:rFonts w:ascii="Times New Roman" w:hAnsi="Times New Roman" w:cs="Times New Roman"/>
        </w:rPr>
      </w:pPr>
    </w:p>
    <w:p w14:paraId="061E7143" w14:textId="77777777" w:rsidR="0005338E" w:rsidRPr="0005338E" w:rsidRDefault="0005338E" w:rsidP="0005338E"/>
    <w:p w14:paraId="58EBC08D" w14:textId="77777777" w:rsidR="00252A68" w:rsidRDefault="00252A68"/>
    <w:sectPr w:rsidR="00252A68" w:rsidSect="00273B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5356"/>
    <w:multiLevelType w:val="hybridMultilevel"/>
    <w:tmpl w:val="05362ACA"/>
    <w:lvl w:ilvl="0" w:tplc="CAFE304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4520FF"/>
    <w:multiLevelType w:val="hybridMultilevel"/>
    <w:tmpl w:val="61405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5A21B5"/>
    <w:multiLevelType w:val="hybridMultilevel"/>
    <w:tmpl w:val="61405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F308B8"/>
    <w:multiLevelType w:val="hybridMultilevel"/>
    <w:tmpl w:val="61405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196CBD"/>
    <w:multiLevelType w:val="hybridMultilevel"/>
    <w:tmpl w:val="61405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4635D1"/>
    <w:multiLevelType w:val="hybridMultilevel"/>
    <w:tmpl w:val="61405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2B42B2"/>
    <w:multiLevelType w:val="hybridMultilevel"/>
    <w:tmpl w:val="3FC85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706344"/>
    <w:multiLevelType w:val="hybridMultilevel"/>
    <w:tmpl w:val="61405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980EE8"/>
    <w:multiLevelType w:val="hybridMultilevel"/>
    <w:tmpl w:val="61405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7"/>
  </w:num>
  <w:num w:numId="6">
    <w:abstractNumId w:val="4"/>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C5F"/>
    <w:rsid w:val="00015D90"/>
    <w:rsid w:val="0003479F"/>
    <w:rsid w:val="0005338E"/>
    <w:rsid w:val="000B373F"/>
    <w:rsid w:val="000D5476"/>
    <w:rsid w:val="000E0B58"/>
    <w:rsid w:val="000F0CAA"/>
    <w:rsid w:val="001018E5"/>
    <w:rsid w:val="00137722"/>
    <w:rsid w:val="00155FDA"/>
    <w:rsid w:val="00180376"/>
    <w:rsid w:val="00186B31"/>
    <w:rsid w:val="00191CDA"/>
    <w:rsid w:val="001E1966"/>
    <w:rsid w:val="00247078"/>
    <w:rsid w:val="00252574"/>
    <w:rsid w:val="00252A68"/>
    <w:rsid w:val="00254C3D"/>
    <w:rsid w:val="00264062"/>
    <w:rsid w:val="00267498"/>
    <w:rsid w:val="00273B45"/>
    <w:rsid w:val="00297519"/>
    <w:rsid w:val="002A446E"/>
    <w:rsid w:val="002C0933"/>
    <w:rsid w:val="002E7DA8"/>
    <w:rsid w:val="002F4ABA"/>
    <w:rsid w:val="00312BCE"/>
    <w:rsid w:val="003203B6"/>
    <w:rsid w:val="00334111"/>
    <w:rsid w:val="00340305"/>
    <w:rsid w:val="003721A1"/>
    <w:rsid w:val="003B6790"/>
    <w:rsid w:val="00466FB3"/>
    <w:rsid w:val="00486629"/>
    <w:rsid w:val="004B76E6"/>
    <w:rsid w:val="004C4C65"/>
    <w:rsid w:val="004F400A"/>
    <w:rsid w:val="004F7195"/>
    <w:rsid w:val="00501AD6"/>
    <w:rsid w:val="00504E36"/>
    <w:rsid w:val="005305AA"/>
    <w:rsid w:val="00532E9C"/>
    <w:rsid w:val="00546F3A"/>
    <w:rsid w:val="00551C93"/>
    <w:rsid w:val="00560776"/>
    <w:rsid w:val="005647E4"/>
    <w:rsid w:val="005F1BC2"/>
    <w:rsid w:val="005F3972"/>
    <w:rsid w:val="005F5032"/>
    <w:rsid w:val="005F5DC6"/>
    <w:rsid w:val="00607843"/>
    <w:rsid w:val="00620435"/>
    <w:rsid w:val="006252A5"/>
    <w:rsid w:val="00630ED1"/>
    <w:rsid w:val="00642F10"/>
    <w:rsid w:val="006B7469"/>
    <w:rsid w:val="006B7B18"/>
    <w:rsid w:val="006F634C"/>
    <w:rsid w:val="006F769B"/>
    <w:rsid w:val="0072046F"/>
    <w:rsid w:val="00774ACB"/>
    <w:rsid w:val="00777F00"/>
    <w:rsid w:val="00801A6F"/>
    <w:rsid w:val="00847533"/>
    <w:rsid w:val="0086011D"/>
    <w:rsid w:val="008636AC"/>
    <w:rsid w:val="00880E59"/>
    <w:rsid w:val="00896199"/>
    <w:rsid w:val="008A0181"/>
    <w:rsid w:val="008A02F3"/>
    <w:rsid w:val="008A3CE0"/>
    <w:rsid w:val="008D2DDE"/>
    <w:rsid w:val="00913644"/>
    <w:rsid w:val="009202BF"/>
    <w:rsid w:val="00980A9A"/>
    <w:rsid w:val="00995B53"/>
    <w:rsid w:val="009B6380"/>
    <w:rsid w:val="009C0B0E"/>
    <w:rsid w:val="009C4057"/>
    <w:rsid w:val="009D4674"/>
    <w:rsid w:val="009E2375"/>
    <w:rsid w:val="00A12D79"/>
    <w:rsid w:val="00A2170E"/>
    <w:rsid w:val="00A230E1"/>
    <w:rsid w:val="00A37B14"/>
    <w:rsid w:val="00A45B71"/>
    <w:rsid w:val="00A52F59"/>
    <w:rsid w:val="00A669AA"/>
    <w:rsid w:val="00A74E17"/>
    <w:rsid w:val="00AA33B1"/>
    <w:rsid w:val="00AA6213"/>
    <w:rsid w:val="00AB21E5"/>
    <w:rsid w:val="00AD53C7"/>
    <w:rsid w:val="00AD59CB"/>
    <w:rsid w:val="00B3010C"/>
    <w:rsid w:val="00B604A1"/>
    <w:rsid w:val="00B82195"/>
    <w:rsid w:val="00BA20C8"/>
    <w:rsid w:val="00BA4B4B"/>
    <w:rsid w:val="00BC6CF4"/>
    <w:rsid w:val="00BE7A4A"/>
    <w:rsid w:val="00C0610A"/>
    <w:rsid w:val="00C10277"/>
    <w:rsid w:val="00C103A1"/>
    <w:rsid w:val="00C1574E"/>
    <w:rsid w:val="00C27D66"/>
    <w:rsid w:val="00C73B07"/>
    <w:rsid w:val="00C929EE"/>
    <w:rsid w:val="00C958BC"/>
    <w:rsid w:val="00CA4E15"/>
    <w:rsid w:val="00CA6FA8"/>
    <w:rsid w:val="00CE4AFF"/>
    <w:rsid w:val="00D05048"/>
    <w:rsid w:val="00D1132A"/>
    <w:rsid w:val="00D4114C"/>
    <w:rsid w:val="00D636FE"/>
    <w:rsid w:val="00D84BBC"/>
    <w:rsid w:val="00DB52F1"/>
    <w:rsid w:val="00DE012E"/>
    <w:rsid w:val="00DF751D"/>
    <w:rsid w:val="00E10571"/>
    <w:rsid w:val="00E211A6"/>
    <w:rsid w:val="00E22166"/>
    <w:rsid w:val="00E27F23"/>
    <w:rsid w:val="00E813E5"/>
    <w:rsid w:val="00E82EC8"/>
    <w:rsid w:val="00EA3E0D"/>
    <w:rsid w:val="00EB103E"/>
    <w:rsid w:val="00ED2C8D"/>
    <w:rsid w:val="00ED3C5F"/>
    <w:rsid w:val="00F13733"/>
    <w:rsid w:val="00F47FEA"/>
    <w:rsid w:val="00F5638C"/>
    <w:rsid w:val="00F567DF"/>
    <w:rsid w:val="00F86C2D"/>
    <w:rsid w:val="00FE06E3"/>
    <w:rsid w:val="00FF6F2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C6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38E"/>
    <w:pPr>
      <w:spacing w:after="200" w:line="276" w:lineRule="auto"/>
    </w:pPr>
  </w:style>
  <w:style w:type="paragraph" w:styleId="1">
    <w:name w:val="heading 1"/>
    <w:basedOn w:val="a"/>
    <w:link w:val="10"/>
    <w:uiPriority w:val="9"/>
    <w:qFormat/>
    <w:rsid w:val="000533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533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338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05338E"/>
    <w:rPr>
      <w:rFonts w:asciiTheme="majorHAnsi" w:eastAsiaTheme="majorEastAsia" w:hAnsiTheme="majorHAnsi" w:cstheme="majorBidi"/>
      <w:color w:val="2E74B5" w:themeColor="accent1" w:themeShade="BF"/>
      <w:sz w:val="26"/>
      <w:szCs w:val="26"/>
    </w:rPr>
  </w:style>
  <w:style w:type="paragraph" w:styleId="a3">
    <w:name w:val="List Paragraph"/>
    <w:basedOn w:val="a"/>
    <w:uiPriority w:val="34"/>
    <w:qFormat/>
    <w:rsid w:val="0005338E"/>
    <w:pPr>
      <w:ind w:left="720"/>
      <w:contextualSpacing/>
    </w:pPr>
    <w:rPr>
      <w:rFonts w:ascii="Calibri" w:eastAsia="Times New Roman" w:hAnsi="Calibri" w:cs="Times New Roman"/>
      <w:lang w:eastAsia="ru-RU"/>
    </w:rPr>
  </w:style>
  <w:style w:type="character" w:styleId="a4">
    <w:name w:val="Hyperlink"/>
    <w:basedOn w:val="a0"/>
    <w:uiPriority w:val="99"/>
    <w:semiHidden/>
    <w:unhideWhenUsed/>
    <w:rsid w:val="0005338E"/>
    <w:rPr>
      <w:color w:val="0000FF"/>
      <w:u w:val="single"/>
    </w:rPr>
  </w:style>
  <w:style w:type="character" w:customStyle="1" w:styleId="apple-converted-space">
    <w:name w:val="apple-converted-space"/>
    <w:basedOn w:val="a0"/>
    <w:rsid w:val="0005338E"/>
  </w:style>
  <w:style w:type="table" w:styleId="a5">
    <w:name w:val="Table Grid"/>
    <w:basedOn w:val="a1"/>
    <w:uiPriority w:val="39"/>
    <w:rsid w:val="00053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caption"/>
    <w:basedOn w:val="a"/>
    <w:next w:val="a"/>
    <w:uiPriority w:val="35"/>
    <w:unhideWhenUsed/>
    <w:qFormat/>
    <w:rsid w:val="0005338E"/>
    <w:pPr>
      <w:spacing w:line="240" w:lineRule="auto"/>
    </w:pPr>
    <w:rPr>
      <w:i/>
      <w:iCs/>
      <w:color w:val="44546A" w:themeColor="text2"/>
      <w:sz w:val="18"/>
      <w:szCs w:val="18"/>
    </w:rPr>
  </w:style>
  <w:style w:type="paragraph" w:styleId="a7">
    <w:name w:val="header"/>
    <w:basedOn w:val="a"/>
    <w:link w:val="a8"/>
    <w:uiPriority w:val="99"/>
    <w:unhideWhenUsed/>
    <w:rsid w:val="000533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338E"/>
  </w:style>
  <w:style w:type="paragraph" w:styleId="a9">
    <w:name w:val="footer"/>
    <w:basedOn w:val="a"/>
    <w:link w:val="aa"/>
    <w:uiPriority w:val="99"/>
    <w:unhideWhenUsed/>
    <w:rsid w:val="000533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338E"/>
  </w:style>
  <w:style w:type="paragraph" w:styleId="ab">
    <w:name w:val="Normal (Web)"/>
    <w:basedOn w:val="a"/>
    <w:uiPriority w:val="99"/>
    <w:semiHidden/>
    <w:unhideWhenUsed/>
    <w:rsid w:val="000533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
    <w:name w:val="highlight"/>
    <w:basedOn w:val="a0"/>
    <w:rsid w:val="0005338E"/>
  </w:style>
  <w:style w:type="paragraph" w:styleId="ac">
    <w:name w:val="Balloon Text"/>
    <w:basedOn w:val="a"/>
    <w:link w:val="ad"/>
    <w:uiPriority w:val="99"/>
    <w:semiHidden/>
    <w:unhideWhenUsed/>
    <w:rsid w:val="0005338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5338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38E"/>
    <w:pPr>
      <w:spacing w:after="200" w:line="276" w:lineRule="auto"/>
    </w:pPr>
  </w:style>
  <w:style w:type="paragraph" w:styleId="1">
    <w:name w:val="heading 1"/>
    <w:basedOn w:val="a"/>
    <w:link w:val="10"/>
    <w:uiPriority w:val="9"/>
    <w:qFormat/>
    <w:rsid w:val="000533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533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338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05338E"/>
    <w:rPr>
      <w:rFonts w:asciiTheme="majorHAnsi" w:eastAsiaTheme="majorEastAsia" w:hAnsiTheme="majorHAnsi" w:cstheme="majorBidi"/>
      <w:color w:val="2E74B5" w:themeColor="accent1" w:themeShade="BF"/>
      <w:sz w:val="26"/>
      <w:szCs w:val="26"/>
    </w:rPr>
  </w:style>
  <w:style w:type="paragraph" w:styleId="a3">
    <w:name w:val="List Paragraph"/>
    <w:basedOn w:val="a"/>
    <w:uiPriority w:val="34"/>
    <w:qFormat/>
    <w:rsid w:val="0005338E"/>
    <w:pPr>
      <w:ind w:left="720"/>
      <w:contextualSpacing/>
    </w:pPr>
    <w:rPr>
      <w:rFonts w:ascii="Calibri" w:eastAsia="Times New Roman" w:hAnsi="Calibri" w:cs="Times New Roman"/>
      <w:lang w:eastAsia="ru-RU"/>
    </w:rPr>
  </w:style>
  <w:style w:type="character" w:styleId="a4">
    <w:name w:val="Hyperlink"/>
    <w:basedOn w:val="a0"/>
    <w:uiPriority w:val="99"/>
    <w:semiHidden/>
    <w:unhideWhenUsed/>
    <w:rsid w:val="0005338E"/>
    <w:rPr>
      <w:color w:val="0000FF"/>
      <w:u w:val="single"/>
    </w:rPr>
  </w:style>
  <w:style w:type="character" w:customStyle="1" w:styleId="apple-converted-space">
    <w:name w:val="apple-converted-space"/>
    <w:basedOn w:val="a0"/>
    <w:rsid w:val="0005338E"/>
  </w:style>
  <w:style w:type="table" w:styleId="a5">
    <w:name w:val="Table Grid"/>
    <w:basedOn w:val="a1"/>
    <w:uiPriority w:val="39"/>
    <w:rsid w:val="00053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caption"/>
    <w:basedOn w:val="a"/>
    <w:next w:val="a"/>
    <w:uiPriority w:val="35"/>
    <w:unhideWhenUsed/>
    <w:qFormat/>
    <w:rsid w:val="0005338E"/>
    <w:pPr>
      <w:spacing w:line="240" w:lineRule="auto"/>
    </w:pPr>
    <w:rPr>
      <w:i/>
      <w:iCs/>
      <w:color w:val="44546A" w:themeColor="text2"/>
      <w:sz w:val="18"/>
      <w:szCs w:val="18"/>
    </w:rPr>
  </w:style>
  <w:style w:type="paragraph" w:styleId="a7">
    <w:name w:val="header"/>
    <w:basedOn w:val="a"/>
    <w:link w:val="a8"/>
    <w:uiPriority w:val="99"/>
    <w:unhideWhenUsed/>
    <w:rsid w:val="000533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338E"/>
  </w:style>
  <w:style w:type="paragraph" w:styleId="a9">
    <w:name w:val="footer"/>
    <w:basedOn w:val="a"/>
    <w:link w:val="aa"/>
    <w:uiPriority w:val="99"/>
    <w:unhideWhenUsed/>
    <w:rsid w:val="000533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338E"/>
  </w:style>
  <w:style w:type="paragraph" w:styleId="ab">
    <w:name w:val="Normal (Web)"/>
    <w:basedOn w:val="a"/>
    <w:uiPriority w:val="99"/>
    <w:semiHidden/>
    <w:unhideWhenUsed/>
    <w:rsid w:val="000533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
    <w:name w:val="highlight"/>
    <w:basedOn w:val="a0"/>
    <w:rsid w:val="0005338E"/>
  </w:style>
  <w:style w:type="paragraph" w:styleId="ac">
    <w:name w:val="Balloon Text"/>
    <w:basedOn w:val="a"/>
    <w:link w:val="ad"/>
    <w:uiPriority w:val="99"/>
    <w:semiHidden/>
    <w:unhideWhenUsed/>
    <w:rsid w:val="0005338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533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cbi.nlm.nih.gov/pubmed/?term=Connolly%20SJ%5BAuthor%5D&amp;cauthor=true&amp;cauthor_uid=22236222" TargetMode="External"/><Relationship Id="rId20" Type="http://schemas.openxmlformats.org/officeDocument/2006/relationships/hyperlink" Target="https://www.ncbi.nlm.nih.gov/pubmed/?term=Orlov%20MV%5BAuthor%5D&amp;cauthor=true&amp;cauthor_uid=17367361" TargetMode="External"/><Relationship Id="rId21" Type="http://schemas.openxmlformats.org/officeDocument/2006/relationships/hyperlink" Target="https://www.ncbi.nlm.nih.gov/pubmed/?term=Ghali%20JK%5BAuthor%5D&amp;cauthor=true&amp;cauthor_uid=17367361" TargetMode="External"/><Relationship Id="rId22" Type="http://schemas.openxmlformats.org/officeDocument/2006/relationships/hyperlink" Target="https://www.ncbi.nlm.nih.gov/pubmed/?term=Araghi-Niknam%20M%5BAuthor%5D&amp;cauthor=true&amp;cauthor_uid=17367361" TargetMode="External"/><Relationship Id="rId23" Type="http://schemas.openxmlformats.org/officeDocument/2006/relationships/hyperlink" Target="https://www.ncbi.nlm.nih.gov/pubmed/17367361" TargetMode="External"/><Relationship Id="rId24" Type="http://schemas.openxmlformats.org/officeDocument/2006/relationships/hyperlink" Target="https://www.ncbi.nlm.nih.gov/pubmed/26786114" TargetMode="External"/><Relationship Id="rId25" Type="http://schemas.openxmlformats.org/officeDocument/2006/relationships/hyperlink" Target="https://www.ncbi.nlm.nih.gov/pubmed/?term=Brambatti%20M%5BAuthor%5D&amp;cauthor=true&amp;cauthor_uid=24633881" TargetMode="External"/><Relationship Id="rId26" Type="http://schemas.openxmlformats.org/officeDocument/2006/relationships/hyperlink" Target="https://www.ncbi.nlm.nih.gov/pubmed/?term=Connolly%20SJ%5BAuthor%5D&amp;cauthor=true&amp;cauthor_uid=24633881" TargetMode="External"/><Relationship Id="rId27" Type="http://schemas.openxmlformats.org/officeDocument/2006/relationships/hyperlink" Target="https://www.ncbi.nlm.nih.gov/pubmed/?term=Gold%20MR%5BAuthor%5D&amp;cauthor=true&amp;cauthor_uid=24633881" TargetMode="External"/><Relationship Id="rId28" Type="http://schemas.openxmlformats.org/officeDocument/2006/relationships/hyperlink" Target="https://www.ncbi.nlm.nih.gov/pubmed/24633881" TargetMode="External"/><Relationship Id="rId29" Type="http://schemas.openxmlformats.org/officeDocument/2006/relationships/chart" Target="charts/chart1.xml"/><Relationship Id="rId30" Type="http://schemas.openxmlformats.org/officeDocument/2006/relationships/chart" Target="charts/chart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ncbi.nlm.nih.gov/pubmed/?term=Gold%20MR%5BAuthor%5D&amp;cauthor=true&amp;cauthor_uid=22236222" TargetMode="External"/><Relationship Id="rId11" Type="http://schemas.openxmlformats.org/officeDocument/2006/relationships/hyperlink" Target="http://www.ncbi.nlm.nih.gov/pubmed/22236222" TargetMode="External"/><Relationship Id="rId12" Type="http://schemas.openxmlformats.org/officeDocument/2006/relationships/hyperlink" Target="https://www.ncbi.nlm.nih.gov/pubmed/?term=Glotzer%20TV%5BAuthor%5D&amp;cauthor=true&amp;cauthor_uid=19843914" TargetMode="External"/><Relationship Id="rId13" Type="http://schemas.openxmlformats.org/officeDocument/2006/relationships/hyperlink" Target="https://www.ncbi.nlm.nih.gov/pubmed/?term=Daoud%20EG%5BAuthor%5D&amp;cauthor=true&amp;cauthor_uid=19843914" TargetMode="External"/><Relationship Id="rId14" Type="http://schemas.openxmlformats.org/officeDocument/2006/relationships/hyperlink" Target="https://www.ncbi.nlm.nih.gov/pubmed/?term=Wyse%20DG%5BAuthor%5D&amp;cauthor=true&amp;cauthor_uid=19843914" TargetMode="External"/><Relationship Id="rId15" Type="http://schemas.openxmlformats.org/officeDocument/2006/relationships/hyperlink" Target="https://www.ncbi.nlm.nih.gov/pubmed/19843914" TargetMode="External"/><Relationship Id="rId16" Type="http://schemas.openxmlformats.org/officeDocument/2006/relationships/hyperlink" Target="https://www.ncbi.nlm.nih.gov/pubmed/?term=Mittal%20S%5BAuthor%5D&amp;cauthor=true&amp;cauthor_uid=18678304" TargetMode="External"/><Relationship Id="rId17" Type="http://schemas.openxmlformats.org/officeDocument/2006/relationships/hyperlink" Target="https://www.ncbi.nlm.nih.gov/pubmed/?term=Stein%20K%5BAuthor%5D&amp;cauthor=true&amp;cauthor_uid=18678304" TargetMode="External"/><Relationship Id="rId18" Type="http://schemas.openxmlformats.org/officeDocument/2006/relationships/hyperlink" Target="https://www.ncbi.nlm.nih.gov/pubmed/?term=Gilliam%20FR%203rd%5BAuthor%5D&amp;cauthor=true&amp;cauthor_uid=18678304" TargetMode="External"/><Relationship Id="rId19" Type="http://schemas.openxmlformats.org/officeDocument/2006/relationships/hyperlink" Target="https://www.ncbi.nlm.nih.gov/pubmed/18678304"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ncbi.nlm.nih.gov/pubmed/?term=Kennedy%20HL%5BAuthor%5D&amp;cauthor=true&amp;cauthor_uid=26446367" TargetMode="External"/><Relationship Id="rId7" Type="http://schemas.openxmlformats.org/officeDocument/2006/relationships/hyperlink" Target="https://www.ncbi.nlm.nih.gov/pubmed/26446367" TargetMode="External"/><Relationship Id="rId8" Type="http://schemas.openxmlformats.org/officeDocument/2006/relationships/hyperlink" Target="http://www.ncbi.nlm.nih.gov/pubmed/?term=Healey%20JS%5BAuthor%5D&amp;cauthor=true&amp;cauthor_uid=2223622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70;&#1083;&#1103;\Desktop\&#1051;&#1080;&#1089;&#1090;%20Microsoft%20Excel.xlsx" TargetMode="External"/><Relationship Id="rId2" Type="http://schemas.microsoft.com/office/2011/relationships/chartStyle" Target="style1.xml"/><Relationship Id="rId3" Type="http://schemas.microsoft.com/office/2011/relationships/chartColorStyle" Target="colors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70;&#1083;&#1103;\Desktop\&#1051;&#1080;&#1089;&#1090;%20Microsoft%20Excel.xlsx" TargetMode="External"/><Relationship Id="rId2" Type="http://schemas.microsoft.com/office/2011/relationships/chartStyle" Target="style2.xml"/><Relationship Id="rId3" Type="http://schemas.microsoft.com/office/2011/relationships/chartColorStyle" Target="colors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752637052444"/>
          <c:y val="0.0740740740740741"/>
          <c:w val="0.857574406972713"/>
          <c:h val="0.765439227503969"/>
        </c:manualLayout>
      </c:layout>
      <c:barChart>
        <c:barDir val="col"/>
        <c:grouping val="clustered"/>
        <c:varyColors val="0"/>
        <c:ser>
          <c:idx val="2"/>
          <c:order val="0"/>
          <c:tx>
            <c:strRef>
              <c:f>Лист1!$D$1:$D$2</c:f>
              <c:strCache>
                <c:ptCount val="2"/>
                <c:pt idx="0">
                  <c:v>% выявления фибрилляции предсердий</c:v>
                </c:pt>
              </c:strCache>
            </c:strRef>
          </c:tx>
          <c:spPr>
            <a:solidFill>
              <a:schemeClr val="tx1">
                <a:lumMod val="50000"/>
                <a:lumOff val="50000"/>
              </a:schemeClr>
            </a:solidFill>
            <a:ln w="76200">
              <a:solidFill>
                <a:schemeClr val="tx1">
                  <a:lumMod val="50000"/>
                  <a:lumOff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Лист1!$A$3:$A$11</c:f>
              <c:strCache>
                <c:ptCount val="8"/>
                <c:pt idx="1">
                  <c:v>1 визит</c:v>
                </c:pt>
                <c:pt idx="3">
                  <c:v>2 визит</c:v>
                </c:pt>
                <c:pt idx="5">
                  <c:v>3 визит</c:v>
                </c:pt>
                <c:pt idx="7">
                  <c:v>4 визит</c:v>
                </c:pt>
              </c:strCache>
            </c:strRef>
          </c:cat>
          <c:val>
            <c:numRef>
              <c:f>Лист1!$D$3:$D$11</c:f>
              <c:numCache>
                <c:formatCode>General</c:formatCode>
                <c:ptCount val="9"/>
                <c:pt idx="1">
                  <c:v>14.9</c:v>
                </c:pt>
                <c:pt idx="3">
                  <c:v>5.3</c:v>
                </c:pt>
                <c:pt idx="5">
                  <c:v>1.7</c:v>
                </c:pt>
                <c:pt idx="7">
                  <c:v>3.6</c:v>
                </c:pt>
              </c:numCache>
            </c:numRef>
          </c:val>
          <c:extLst xmlns:c16r2="http://schemas.microsoft.com/office/drawing/2015/06/chart">
            <c:ext xmlns:c16="http://schemas.microsoft.com/office/drawing/2014/chart" uri="{C3380CC4-5D6E-409C-BE32-E72D297353CC}">
              <c16:uniqueId val="{00000000-FE42-49BA-9DA9-B166832BFDD9}"/>
            </c:ext>
          </c:extLst>
        </c:ser>
        <c:dLbls>
          <c:dLblPos val="outEnd"/>
          <c:showLegendKey val="0"/>
          <c:showVal val="1"/>
          <c:showCatName val="0"/>
          <c:showSerName val="0"/>
          <c:showPercent val="0"/>
          <c:showBubbleSize val="0"/>
        </c:dLbls>
        <c:gapWidth val="219"/>
        <c:overlap val="-27"/>
        <c:axId val="-2080922232"/>
        <c:axId val="-2080469064"/>
        <c:extLst xmlns:c16r2="http://schemas.microsoft.com/office/drawing/2015/06/chart">
          <c:ext xmlns:c15="http://schemas.microsoft.com/office/drawing/2012/chart" uri="{02D57815-91ED-43cb-92C2-25804820EDAC}">
            <c15:filteredBarSeries>
              <c15:ser>
                <c:idx val="0"/>
                <c:order val="0"/>
                <c:tx>
                  <c:strRef>
                    <c:extLst>
                      <c:ext uri="{02D57815-91ED-43cb-92C2-25804820EDAC}">
                        <c15:formulaRef>
                          <c15:sqref>Лист1!$B$1:$B$2</c15:sqref>
                        </c15:formulaRef>
                      </c:ext>
                    </c:extLst>
                    <c:strCache>
                      <c:ptCount val="2"/>
                      <c:pt idx="0">
                        <c:v>Время наблюдения</c:v>
                      </c:pt>
                      <c:pt idx="1">
                        <c:v>(визиты)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Лист1!$A$3:$A$11</c15:sqref>
                        </c15:formulaRef>
                      </c:ext>
                    </c:extLst>
                    <c:strCache>
                      <c:ptCount val="8"/>
                      <c:pt idx="1">
                        <c:v>1 визит</c:v>
                      </c:pt>
                      <c:pt idx="3">
                        <c:v>2 визит</c:v>
                      </c:pt>
                      <c:pt idx="5">
                        <c:v>3 визит</c:v>
                      </c:pt>
                      <c:pt idx="7">
                        <c:v>4 визит</c:v>
                      </c:pt>
                    </c:strCache>
                  </c:strRef>
                </c:cat>
                <c:val>
                  <c:numRef>
                    <c:extLst>
                      <c:ext uri="{02D57815-91ED-43cb-92C2-25804820EDAC}">
                        <c15:formulaRef>
                          <c15:sqref>Лист1!$B$3:$B$11</c15:sqref>
                        </c15:formulaRef>
                      </c:ext>
                    </c:extLst>
                    <c:numCache>
                      <c:formatCode>General</c:formatCode>
                      <c:ptCount val="9"/>
                    </c:numCache>
                  </c:numRef>
                </c:val>
                <c:extLst>
                  <c:ext xmlns:c16="http://schemas.microsoft.com/office/drawing/2014/chart" uri="{C3380CC4-5D6E-409C-BE32-E72D297353CC}">
                    <c16:uniqueId val="{00000001-FE42-49BA-9DA9-B166832BFDD9}"/>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Лист1!$C$1:$C$2</c15:sqref>
                        </c15:formulaRef>
                      </c:ext>
                    </c:extLst>
                    <c:strCache>
                      <c:ptCount val="2"/>
                      <c:pt idx="0">
                        <c:v>Время наблюдения</c:v>
                      </c:pt>
                      <c:pt idx="1">
                        <c:v>(визиты)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Лист1!$A$3:$A$11</c15:sqref>
                        </c15:formulaRef>
                      </c:ext>
                    </c:extLst>
                    <c:strCache>
                      <c:ptCount val="8"/>
                      <c:pt idx="1">
                        <c:v>1 визит</c:v>
                      </c:pt>
                      <c:pt idx="3">
                        <c:v>2 визит</c:v>
                      </c:pt>
                      <c:pt idx="5">
                        <c:v>3 визит</c:v>
                      </c:pt>
                      <c:pt idx="7">
                        <c:v>4 визит</c:v>
                      </c:pt>
                    </c:strCache>
                  </c:strRef>
                </c:cat>
                <c:val>
                  <c:numRef>
                    <c:extLst xmlns:c15="http://schemas.microsoft.com/office/drawing/2012/chart">
                      <c:ext xmlns:c15="http://schemas.microsoft.com/office/drawing/2012/chart" uri="{02D57815-91ED-43cb-92C2-25804820EDAC}">
                        <c15:formulaRef>
                          <c15:sqref>Лист1!$C$3:$C$11</c15:sqref>
                        </c15:formulaRef>
                      </c:ext>
                    </c:extLst>
                    <c:numCache>
                      <c:formatCode>General</c:formatCode>
                      <c:ptCount val="9"/>
                    </c:numCache>
                  </c:numRef>
                </c:val>
                <c:extLst xmlns:c15="http://schemas.microsoft.com/office/drawing/2012/chart">
                  <c:ext xmlns:c16="http://schemas.microsoft.com/office/drawing/2014/chart" uri="{C3380CC4-5D6E-409C-BE32-E72D297353CC}">
                    <c16:uniqueId val="{00000002-FE42-49BA-9DA9-B166832BFDD9}"/>
                  </c:ext>
                </c:extLst>
              </c15:ser>
            </c15:filteredBarSeries>
          </c:ext>
        </c:extLst>
      </c:barChart>
      <c:catAx>
        <c:axId val="-2080922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1200" b="1" baseline="0">
                    <a:solidFill>
                      <a:sysClr val="windowText" lastClr="000000"/>
                    </a:solidFill>
                    <a:latin typeface="Times New Roman" panose="02020603050405020304" pitchFamily="18" charset="0"/>
                    <a:cs typeface="Times New Roman" panose="02020603050405020304" pitchFamily="18" charset="0"/>
                  </a:rPr>
                  <a:t>Период наблюдения</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80469064"/>
        <c:crosses val="autoZero"/>
        <c:auto val="1"/>
        <c:lblAlgn val="ctr"/>
        <c:lblOffset val="100"/>
        <c:noMultiLvlLbl val="0"/>
      </c:catAx>
      <c:valAx>
        <c:axId val="-2080469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1100" b="1">
                    <a:solidFill>
                      <a:sysClr val="windowText" lastClr="000000"/>
                    </a:solidFill>
                    <a:latin typeface="Times New Roman" panose="02020603050405020304" pitchFamily="18" charset="0"/>
                    <a:cs typeface="Times New Roman" panose="02020603050405020304" pitchFamily="18" charset="0"/>
                  </a:rPr>
                  <a:t>% пацинетов с выявленой ФП</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80922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Лист2!$B$1</c:f>
              <c:strCache>
                <c:ptCount val="1"/>
                <c:pt idx="0">
                  <c:v>асимптомные пациенты</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Лист2!$A$2:$A$7</c:f>
              <c:strCache>
                <c:ptCount val="6"/>
                <c:pt idx="0">
                  <c:v>Менее 6 минут</c:v>
                </c:pt>
                <c:pt idx="1">
                  <c:v>От 6 минут до 1 часа</c:v>
                </c:pt>
                <c:pt idx="2">
                  <c:v>От 1 часа до 6 часов</c:v>
                </c:pt>
                <c:pt idx="3">
                  <c:v>От 6 часов до 12 часов</c:v>
                </c:pt>
                <c:pt idx="4">
                  <c:v>От 12 часов до 24 часов</c:v>
                </c:pt>
                <c:pt idx="5">
                  <c:v>Более 24 часов</c:v>
                </c:pt>
              </c:strCache>
            </c:strRef>
          </c:cat>
          <c:val>
            <c:numRef>
              <c:f>Лист2!$B$2:$B$7</c:f>
              <c:numCache>
                <c:formatCode>0%</c:formatCode>
                <c:ptCount val="6"/>
                <c:pt idx="0">
                  <c:v>0.047</c:v>
                </c:pt>
                <c:pt idx="1">
                  <c:v>0.209</c:v>
                </c:pt>
                <c:pt idx="2">
                  <c:v>0.233</c:v>
                </c:pt>
                <c:pt idx="3">
                  <c:v>0.279</c:v>
                </c:pt>
                <c:pt idx="4">
                  <c:v>0.069</c:v>
                </c:pt>
                <c:pt idx="5">
                  <c:v>0.163</c:v>
                </c:pt>
              </c:numCache>
            </c:numRef>
          </c:val>
          <c:extLst xmlns:c16r2="http://schemas.microsoft.com/office/drawing/2015/06/chart">
            <c:ext xmlns:c16="http://schemas.microsoft.com/office/drawing/2014/chart" uri="{C3380CC4-5D6E-409C-BE32-E72D297353CC}">
              <c16:uniqueId val="{00000000-B70F-44DE-B29F-9A0923698379}"/>
            </c:ext>
          </c:extLst>
        </c:ser>
        <c:ser>
          <c:idx val="1"/>
          <c:order val="1"/>
          <c:tx>
            <c:strRef>
              <c:f>Лист2!$C$1</c:f>
              <c:strCache>
                <c:ptCount val="1"/>
                <c:pt idx="0">
                  <c:v>симптомные пациенты</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Лист2!$A$2:$A$7</c:f>
              <c:strCache>
                <c:ptCount val="6"/>
                <c:pt idx="0">
                  <c:v>Менее 6 минут</c:v>
                </c:pt>
                <c:pt idx="1">
                  <c:v>От 6 минут до 1 часа</c:v>
                </c:pt>
                <c:pt idx="2">
                  <c:v>От 1 часа до 6 часов</c:v>
                </c:pt>
                <c:pt idx="3">
                  <c:v>От 6 часов до 12 часов</c:v>
                </c:pt>
                <c:pt idx="4">
                  <c:v>От 12 часов до 24 часов</c:v>
                </c:pt>
                <c:pt idx="5">
                  <c:v>Более 24 часов</c:v>
                </c:pt>
              </c:strCache>
            </c:strRef>
          </c:cat>
          <c:val>
            <c:numRef>
              <c:f>Лист2!$C$2:$C$7</c:f>
              <c:numCache>
                <c:formatCode>0%</c:formatCode>
                <c:ptCount val="6"/>
                <c:pt idx="0">
                  <c:v>0.0</c:v>
                </c:pt>
                <c:pt idx="1">
                  <c:v>0.071</c:v>
                </c:pt>
                <c:pt idx="2">
                  <c:v>0.143</c:v>
                </c:pt>
                <c:pt idx="3">
                  <c:v>0.143</c:v>
                </c:pt>
                <c:pt idx="4">
                  <c:v>0.286</c:v>
                </c:pt>
                <c:pt idx="5">
                  <c:v>0.357</c:v>
                </c:pt>
              </c:numCache>
            </c:numRef>
          </c:val>
          <c:extLst xmlns:c16r2="http://schemas.microsoft.com/office/drawing/2015/06/chart">
            <c:ext xmlns:c16="http://schemas.microsoft.com/office/drawing/2014/chart" uri="{C3380CC4-5D6E-409C-BE32-E72D297353CC}">
              <c16:uniqueId val="{00000001-B70F-44DE-B29F-9A0923698379}"/>
            </c:ext>
          </c:extLst>
        </c:ser>
        <c:dLbls>
          <c:dLblPos val="outEnd"/>
          <c:showLegendKey val="0"/>
          <c:showVal val="1"/>
          <c:showCatName val="0"/>
          <c:showSerName val="0"/>
          <c:showPercent val="0"/>
          <c:showBubbleSize val="0"/>
        </c:dLbls>
        <c:gapWidth val="219"/>
        <c:overlap val="-27"/>
        <c:axId val="-2109468696"/>
        <c:axId val="-2080827400"/>
      </c:barChart>
      <c:catAx>
        <c:axId val="-2109468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1200">
                    <a:solidFill>
                      <a:sysClr val="windowText" lastClr="000000"/>
                    </a:solidFill>
                    <a:latin typeface="Times New Roman" panose="02020603050405020304" pitchFamily="18" charset="0"/>
                    <a:cs typeface="Times New Roman" panose="02020603050405020304" pitchFamily="18" charset="0"/>
                  </a:rPr>
                  <a:t>Максимальная длительность эпизода ФП</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80827400"/>
        <c:crosses val="autoZero"/>
        <c:auto val="1"/>
        <c:lblAlgn val="ctr"/>
        <c:lblOffset val="100"/>
        <c:noMultiLvlLbl val="0"/>
      </c:catAx>
      <c:valAx>
        <c:axId val="-2080827400"/>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1200">
                    <a:solidFill>
                      <a:sysClr val="windowText" lastClr="000000"/>
                    </a:solidFill>
                    <a:latin typeface="Times New Roman" panose="02020603050405020304" pitchFamily="18" charset="0"/>
                    <a:cs typeface="Times New Roman" panose="02020603050405020304" pitchFamily="18" charset="0"/>
                  </a:rPr>
                  <a:t>количество пациентов, %</a:t>
                </a:r>
              </a:p>
            </c:rich>
          </c:tx>
          <c:overlay val="0"/>
          <c:spPr>
            <a:noFill/>
            <a:ln>
              <a:noFill/>
            </a:ln>
            <a:effectLst/>
          </c:spPr>
        </c:title>
        <c:numFmt formatCode="0%" sourceLinked="1"/>
        <c:majorTickMark val="none"/>
        <c:minorTickMark val="none"/>
        <c:tickLblPos val="nextTo"/>
        <c:crossAx val="-2109468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13</Pages>
  <Words>3587</Words>
  <Characters>20450</Characters>
  <Application>Microsoft Macintosh Word</Application>
  <DocSecurity>0</DocSecurity>
  <Lines>170</Lines>
  <Paragraphs>47</Paragraphs>
  <ScaleCrop>false</ScaleCrop>
  <Company/>
  <LinksUpToDate>false</LinksUpToDate>
  <CharactersWithSpaces>23990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Mariya kuznetsova</cp:lastModifiedBy>
  <cp:revision>9</cp:revision>
  <dcterms:created xsi:type="dcterms:W3CDTF">2017-04-09T20:29:00Z</dcterms:created>
  <dcterms:modified xsi:type="dcterms:W3CDTF">2017-06-20T11:59:00Z</dcterms:modified>
</cp:coreProperties>
</file>