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19" w:rsidRDefault="00823489" w:rsidP="005B0E8E">
      <w:pPr>
        <w:jc w:val="center"/>
      </w:pPr>
      <w:r w:rsidRPr="00177034">
        <w:rPr>
          <w:noProof/>
          <w:sz w:val="28"/>
          <w:szCs w:val="28"/>
          <w:lang w:eastAsia="ru-RU"/>
        </w:rPr>
        <w:drawing>
          <wp:inline distT="0" distB="0" distL="0" distR="0">
            <wp:extent cx="5379720" cy="293370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231AA" w:rsidRPr="00C16766" w:rsidRDefault="003231AA" w:rsidP="003231A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6766">
        <w:rPr>
          <w:rFonts w:ascii="Times New Roman" w:hAnsi="Times New Roman" w:cs="Times New Roman"/>
          <w:sz w:val="24"/>
        </w:rPr>
        <w:t xml:space="preserve">Рисунок 1. Частота субклинического атеросклероза БЦА у женщин с ожирением </w:t>
      </w:r>
      <w:r w:rsidR="00582F4F">
        <w:rPr>
          <w:rFonts w:ascii="Times New Roman" w:hAnsi="Times New Roman" w:cs="Times New Roman"/>
          <w:sz w:val="24"/>
        </w:rPr>
        <w:t>и</w:t>
      </w:r>
      <w:bookmarkStart w:id="0" w:name="_GoBack"/>
      <w:bookmarkEnd w:id="0"/>
      <w:r w:rsidRPr="00C16766">
        <w:rPr>
          <w:rFonts w:ascii="Times New Roman" w:hAnsi="Times New Roman" w:cs="Times New Roman"/>
          <w:sz w:val="24"/>
        </w:rPr>
        <w:t xml:space="preserve"> низким кардиоваскулярным риском по шкале SCORE</w:t>
      </w:r>
    </w:p>
    <w:sectPr w:rsidR="003231AA" w:rsidRPr="00C16766" w:rsidSect="00C1676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AA"/>
    <w:rsid w:val="00287219"/>
    <w:rsid w:val="003231AA"/>
    <w:rsid w:val="00582F4F"/>
    <w:rsid w:val="005B0E8E"/>
    <w:rsid w:val="00823489"/>
    <w:rsid w:val="00C1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130F9-5C73-4DBC-B02B-AF8FCA37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6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Риск  </a:t>
            </a:r>
            <a:r>
              <a:rPr lang="en-US"/>
              <a:t>SCORE</a:t>
            </a:r>
            <a:r>
              <a:rPr lang="ru-RU"/>
              <a:t> </a:t>
            </a:r>
            <a:r>
              <a:rPr lang="en-US"/>
              <a:t>&lt; </a:t>
            </a:r>
            <a:r>
              <a:rPr lang="ru-RU"/>
              <a:t>5</a:t>
            </a:r>
            <a:r>
              <a:rPr lang="en-US"/>
              <a:t>%</a:t>
            </a:r>
          </a:p>
        </c:rich>
      </c:tx>
      <c:layout>
        <c:manualLayout>
          <c:xMode val="edge"/>
          <c:yMode val="edge"/>
          <c:x val="0.30480487691847508"/>
          <c:y val="5.3758765228973243E-3"/>
        </c:manualLayout>
      </c:layout>
      <c:overlay val="0"/>
      <c:spPr>
        <a:noFill/>
        <a:ln w="2533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6276276276276278"/>
          <c:y val="0.16397849462365588"/>
          <c:w val="0.44894894894894899"/>
          <c:h val="0.8037634408602150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67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93FD-4F18-A0CA-612EEDF982BB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3FD-4F18-A0CA-612EEDF982BB}"/>
              </c:ext>
            </c:extLst>
          </c:dPt>
          <c:cat>
            <c:strRef>
              <c:f>Sheet1!$B$1:$C$1</c:f>
              <c:strCache>
                <c:ptCount val="2"/>
                <c:pt idx="0">
                  <c:v>3 кв</c:v>
                </c:pt>
                <c:pt idx="1">
                  <c:v>4 кв</c:v>
                </c:pt>
              </c:strCache>
            </c:strRef>
          </c:cat>
          <c:val>
            <c:numRef>
              <c:f>Sheet1!$B$2:$C$2</c:f>
              <c:numCache>
                <c:formatCode>#,000%</c:formatCode>
                <c:ptCount val="2"/>
                <c:pt idx="0">
                  <c:v>0.32600000000000001</c:v>
                </c:pt>
                <c:pt idx="1">
                  <c:v>0.67400000000000004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FD-4F18-A0CA-612EEDF982B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6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3FD-4F18-A0CA-612EEDF982BB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93FD-4F18-A0CA-612EEDF982BB}"/>
              </c:ext>
            </c:extLst>
          </c:dPt>
          <c:cat>
            <c:strRef>
              <c:f>Sheet1!$B$1:$C$1</c:f>
              <c:strCache>
                <c:ptCount val="2"/>
                <c:pt idx="0">
                  <c:v>3 кв</c:v>
                </c:pt>
                <c:pt idx="1">
                  <c:v>4 кв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3FD-4F18-A0CA-612EEDF982B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66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3FD-4F18-A0CA-612EEDF982BB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3FD-4F18-A0CA-612EEDF982BB}"/>
              </c:ext>
            </c:extLst>
          </c:dPt>
          <c:cat>
            <c:strRef>
              <c:f>Sheet1!$B$1:$C$1</c:f>
              <c:strCache>
                <c:ptCount val="2"/>
                <c:pt idx="0">
                  <c:v>3 кв</c:v>
                </c:pt>
                <c:pt idx="1">
                  <c:v>4 кв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3FD-4F18-A0CA-612EEDF982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FFFFFF"/>
        </a:solidFill>
        <a:ln w="25332">
          <a:noFill/>
        </a:ln>
      </c:spPr>
    </c:plotArea>
    <c:plotVisOnly val="1"/>
    <c:dispBlanksAs val="zero"/>
    <c:showDLblsOverMax val="0"/>
  </c:chart>
  <c:spPr>
    <a:solidFill>
      <a:srgbClr val="FFFFFF"/>
    </a:solidFill>
    <a:ln w="12667">
      <a:solidFill>
        <a:srgbClr val="000000"/>
      </a:solidFill>
      <a:prstDash val="solid"/>
    </a:ln>
  </c:spPr>
  <c:txPr>
    <a:bodyPr/>
    <a:lstStyle/>
    <a:p>
      <a:pPr>
        <a:defRPr sz="11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0.47075</cdr:x>
      <cdr:y>0.29</cdr:y>
    </cdr:from>
    <cdr:to>
      <cdr:x>0.703</cdr:x>
      <cdr:y>0.402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96631" y="848975"/>
          <a:ext cx="1158350" cy="3125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32004" rIns="36576" bIns="32004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4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32,6%</a:t>
          </a:r>
        </a:p>
      </cdr:txBody>
    </cdr:sp>
  </cdr:relSizeAnchor>
  <cdr:relSizeAnchor xmlns:cdr="http://schemas.openxmlformats.org/drawingml/2006/chartDrawing">
    <cdr:from>
      <cdr:x>0.49887</cdr:x>
      <cdr:y>0.52752</cdr:y>
    </cdr:from>
    <cdr:to>
      <cdr:x>0.50238</cdr:x>
      <cdr:y>0.58273</cdr:y>
    </cdr:to>
    <cdr:sp macro="" textlink="">
      <cdr:nvSpPr>
        <cdr:cNvPr id="102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630551" y="1495320"/>
          <a:ext cx="18531" cy="15651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  <cdr:relSizeAnchor xmlns:cdr="http://schemas.openxmlformats.org/drawingml/2006/chartDrawing">
    <cdr:from>
      <cdr:x>0.44825</cdr:x>
      <cdr:y>0.40225</cdr:y>
    </cdr:from>
    <cdr:to>
      <cdr:x>0.74575</cdr:x>
      <cdr:y>0.574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82445" y="1160785"/>
          <a:ext cx="1493295" cy="4797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32004" rIns="36576" bIns="32004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Субклинический атеросклероз</a:t>
          </a:r>
        </a:p>
      </cdr:txBody>
    </cdr:sp>
  </cdr:relSizeAnchor>
  <cdr:relSizeAnchor xmlns:cdr="http://schemas.openxmlformats.org/drawingml/2006/chartDrawing">
    <cdr:from>
      <cdr:x>0.27646</cdr:x>
      <cdr:y>0.30806</cdr:y>
    </cdr:from>
    <cdr:to>
      <cdr:x>0.50796</cdr:x>
      <cdr:y>0.41981</cdr:y>
    </cdr:to>
    <cdr:sp macro="" textlink="">
      <cdr:nvSpPr>
        <cdr:cNvPr id="1028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78034" y="897880"/>
          <a:ext cx="1203958" cy="31270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32004" rIns="36576" bIns="32004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4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67,4%</a:t>
          </a:r>
          <a:endParaRPr lang="ru-RU" sz="1200" b="1" i="0" u="none" strike="noStrike" baseline="0">
            <a:solidFill>
              <a:srgbClr val="000000"/>
            </a:solidFill>
            <a:latin typeface="Calibri"/>
            <a:cs typeface="Times New Roman"/>
          </a:endParaRPr>
        </a:p>
        <a:p xmlns:a="http://schemas.openxmlformats.org/drawingml/2006/main">
          <a:pPr algn="ctr" rtl="0">
            <a:defRPr sz="1000"/>
          </a:pPr>
          <a:endParaRPr lang="ru-RU" sz="1200" b="1" i="0" u="none" strike="noStrike" baseline="0">
            <a:solidFill>
              <a:srgbClr val="000000"/>
            </a:solidFill>
            <a:latin typeface="Calibri"/>
          </a:endParaRPr>
        </a:p>
      </cdr:txBody>
    </cdr:sp>
  </cdr:relSizeAnchor>
  <cdr:relSizeAnchor xmlns:cdr="http://schemas.openxmlformats.org/drawingml/2006/chartDrawing">
    <cdr:from>
      <cdr:x>0.2453</cdr:x>
      <cdr:y>0.52584</cdr:y>
    </cdr:from>
    <cdr:to>
      <cdr:x>0.5428</cdr:x>
      <cdr:y>0.69759</cdr:y>
    </cdr:to>
    <cdr:sp macro="" textlink="">
      <cdr:nvSpPr>
        <cdr:cNvPr id="6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12333" y="1507067"/>
          <a:ext cx="1552090" cy="48005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square" lIns="36576" tIns="32004" rIns="36576" bIns="32004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ru-RU" sz="1200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Без признаков субклинического атеросклероза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</dc:creator>
  <cp:keywords/>
  <dc:description/>
  <cp:lastModifiedBy>HOME</cp:lastModifiedBy>
  <cp:revision>6</cp:revision>
  <dcterms:created xsi:type="dcterms:W3CDTF">2017-02-06T14:47:00Z</dcterms:created>
  <dcterms:modified xsi:type="dcterms:W3CDTF">2017-02-11T14:59:00Z</dcterms:modified>
</cp:coreProperties>
</file>