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19" w:rsidRDefault="000D25E1" w:rsidP="000D25E1">
      <w:r>
        <w:t>и</w:t>
      </w:r>
      <w:r w:rsidR="00B231CE">
        <w:rPr>
          <w:noProof/>
          <w:sz w:val="28"/>
          <w:szCs w:val="28"/>
          <w:lang w:eastAsia="ru-RU"/>
        </w:rPr>
        <w:drawing>
          <wp:inline distT="0" distB="0" distL="0" distR="0">
            <wp:extent cx="5181600" cy="293370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C202F" w:rsidRPr="009C508F" w:rsidRDefault="00BC202F" w:rsidP="00BC20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C508F">
        <w:rPr>
          <w:rFonts w:ascii="Times New Roman" w:hAnsi="Times New Roman" w:cs="Times New Roman"/>
          <w:sz w:val="24"/>
        </w:rPr>
        <w:t xml:space="preserve">Рисунок 2. Частота субклинического атеросклероза БЦА у женщин с ожирением </w:t>
      </w:r>
      <w:r w:rsidR="000D25E1">
        <w:rPr>
          <w:rFonts w:ascii="Times New Roman" w:hAnsi="Times New Roman" w:cs="Times New Roman"/>
          <w:sz w:val="24"/>
        </w:rPr>
        <w:t>и</w:t>
      </w:r>
      <w:bookmarkStart w:id="0" w:name="_GoBack"/>
      <w:bookmarkEnd w:id="0"/>
      <w:r w:rsidRPr="009C508F">
        <w:rPr>
          <w:rFonts w:ascii="Times New Roman" w:hAnsi="Times New Roman" w:cs="Times New Roman"/>
          <w:sz w:val="24"/>
        </w:rPr>
        <w:t xml:space="preserve"> низким кардиоваскулярным риском по шкале </w:t>
      </w:r>
      <w:proofErr w:type="spellStart"/>
      <w:r w:rsidRPr="009C508F">
        <w:rPr>
          <w:rFonts w:ascii="Times New Roman" w:hAnsi="Times New Roman" w:cs="Times New Roman"/>
          <w:sz w:val="24"/>
        </w:rPr>
        <w:t>Framingham</w:t>
      </w:r>
      <w:proofErr w:type="spellEnd"/>
    </w:p>
    <w:sectPr w:rsidR="00BC202F" w:rsidRPr="009C508F" w:rsidSect="009C508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2F"/>
    <w:rsid w:val="000D25E1"/>
    <w:rsid w:val="00287219"/>
    <w:rsid w:val="003F4F4C"/>
    <w:rsid w:val="009C508F"/>
    <w:rsid w:val="00B231CE"/>
    <w:rsid w:val="00BC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F2132-4A8B-4178-B5F6-99A4F6D1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96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Риск </a:t>
            </a:r>
            <a:r>
              <a:rPr lang="en-US"/>
              <a:t>Framingham &lt; 20%</a:t>
            </a:r>
          </a:p>
        </c:rich>
      </c:tx>
      <c:layout>
        <c:manualLayout>
          <c:xMode val="edge"/>
          <c:yMode val="edge"/>
          <c:x val="0.30480480480480482"/>
          <c:y val="5.3763440860215049E-3"/>
        </c:manualLayout>
      </c:layout>
      <c:overlay val="0"/>
      <c:spPr>
        <a:noFill/>
        <a:ln w="2533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6276276276276278"/>
          <c:y val="0.16397849462365588"/>
          <c:w val="0.44894894894894899"/>
          <c:h val="0.8037634408602150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67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4D1F-4ABA-8707-CB82A80C8B89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D1F-4ABA-8707-CB82A80C8B89}"/>
              </c:ext>
            </c:extLst>
          </c:dPt>
          <c:cat>
            <c:strRef>
              <c:f>Sheet1!$B$1:$C$1</c:f>
              <c:strCache>
                <c:ptCount val="2"/>
                <c:pt idx="0">
                  <c:v>3 кв</c:v>
                </c:pt>
                <c:pt idx="1">
                  <c:v>4 кв</c:v>
                </c:pt>
              </c:strCache>
            </c:strRef>
          </c:cat>
          <c:val>
            <c:numRef>
              <c:f>Sheet1!$B$2:$C$2</c:f>
              <c:numCache>
                <c:formatCode>#,000%</c:formatCode>
                <c:ptCount val="2"/>
                <c:pt idx="0">
                  <c:v>0.32600000000000001</c:v>
                </c:pt>
                <c:pt idx="1">
                  <c:v>0.67400000000000004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D1F-4ABA-8707-CB82A80C8B8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6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D1F-4ABA-8707-CB82A80C8B89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4D1F-4ABA-8707-CB82A80C8B89}"/>
              </c:ext>
            </c:extLst>
          </c:dPt>
          <c:cat>
            <c:strRef>
              <c:f>Sheet1!$B$1:$C$1</c:f>
              <c:strCache>
                <c:ptCount val="2"/>
                <c:pt idx="0">
                  <c:v>3 кв</c:v>
                </c:pt>
                <c:pt idx="1">
                  <c:v>4 кв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D1F-4ABA-8707-CB82A80C8B8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6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4D1F-4ABA-8707-CB82A80C8B89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D1F-4ABA-8707-CB82A80C8B89}"/>
              </c:ext>
            </c:extLst>
          </c:dPt>
          <c:cat>
            <c:strRef>
              <c:f>Sheet1!$B$1:$C$1</c:f>
              <c:strCache>
                <c:ptCount val="2"/>
                <c:pt idx="0">
                  <c:v>3 кв</c:v>
                </c:pt>
                <c:pt idx="1">
                  <c:v>4 кв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D1F-4ABA-8707-CB82A80C8B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FFFFFF"/>
        </a:solidFill>
        <a:ln w="25333">
          <a:noFill/>
        </a:ln>
      </c:spPr>
    </c:plotArea>
    <c:plotVisOnly val="1"/>
    <c:dispBlanksAs val="zero"/>
    <c:showDLblsOverMax val="0"/>
  </c:chart>
  <c:spPr>
    <a:solidFill>
      <a:srgbClr val="FFFFFF"/>
    </a:solidFill>
    <a:ln w="12667">
      <a:solidFill>
        <a:srgbClr val="000000"/>
      </a:solidFill>
      <a:prstDash val="solid"/>
    </a:ln>
  </c:spPr>
  <c:txPr>
    <a:bodyPr/>
    <a:lstStyle/>
    <a:p>
      <a:pPr>
        <a:defRPr sz="11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0.47225</cdr:x>
      <cdr:y>0.2995</cdr:y>
    </cdr:from>
    <cdr:to>
      <cdr:x>0.7005</cdr:x>
      <cdr:y>0.40975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96631" y="848975"/>
          <a:ext cx="1158350" cy="3125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32004" rIns="36576" bIns="32004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4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32,6%</a:t>
          </a:r>
        </a:p>
      </cdr:txBody>
    </cdr:sp>
  </cdr:relSizeAnchor>
  <cdr:relSizeAnchor xmlns:cdr="http://schemas.openxmlformats.org/drawingml/2006/chartDrawing">
    <cdr:from>
      <cdr:x>0.5015</cdr:x>
      <cdr:y>0.4955</cdr:y>
    </cdr:from>
    <cdr:to>
      <cdr:x>0.5075</cdr:x>
      <cdr:y>0.57875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45072" y="1404564"/>
          <a:ext cx="30450" cy="23598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  <cdr:relSizeAnchor xmlns:cdr="http://schemas.openxmlformats.org/drawingml/2006/chartDrawing">
    <cdr:from>
      <cdr:x>0.44975</cdr:x>
      <cdr:y>0.4095</cdr:y>
    </cdr:from>
    <cdr:to>
      <cdr:x>0.744</cdr:x>
      <cdr:y>0.57875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82445" y="1160785"/>
          <a:ext cx="1493295" cy="4797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32004" rIns="36576" bIns="32004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Субклинический атеросклероз</a:t>
          </a:r>
        </a:p>
      </cdr:txBody>
    </cdr:sp>
  </cdr:relSizeAnchor>
  <cdr:relSizeAnchor xmlns:cdr="http://schemas.openxmlformats.org/drawingml/2006/chartDrawing">
    <cdr:from>
      <cdr:x>0.273</cdr:x>
      <cdr:y>0.37025</cdr:y>
    </cdr:from>
    <cdr:to>
      <cdr:x>0.50125</cdr:x>
      <cdr:y>0.4805</cdr:y>
    </cdr:to>
    <cdr:sp macro="" textlink="">
      <cdr:nvSpPr>
        <cdr:cNvPr id="102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85453" y="1049525"/>
          <a:ext cx="1158351" cy="3125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32004" rIns="36576" bIns="32004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4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67,4%</a:t>
          </a:r>
          <a:endParaRPr lang="ru-RU" sz="1200" b="1" i="0" u="none" strike="noStrike" baseline="0">
            <a:solidFill>
              <a:srgbClr val="000000"/>
            </a:solidFill>
            <a:latin typeface="Calibri"/>
            <a:cs typeface="Times New Roman"/>
          </a:endParaRPr>
        </a:p>
        <a:p xmlns:a="http://schemas.openxmlformats.org/drawingml/2006/main">
          <a:pPr algn="ctr" rtl="0">
            <a:defRPr sz="1000"/>
          </a:pPr>
          <a:endParaRPr lang="ru-RU" sz="1200" b="1" i="0" u="none" strike="noStrike" baseline="0">
            <a:solidFill>
              <a:srgbClr val="000000"/>
            </a:solidFill>
            <a:latin typeface="Calibri"/>
          </a:endParaRPr>
        </a:p>
      </cdr:txBody>
    </cdr:sp>
  </cdr:relSizeAnchor>
  <cdr:relSizeAnchor xmlns:cdr="http://schemas.openxmlformats.org/drawingml/2006/chartDrawing">
    <cdr:from>
      <cdr:x>0.25775</cdr:x>
      <cdr:y>0.56475</cdr:y>
    </cdr:from>
    <cdr:to>
      <cdr:x>0.5625</cdr:x>
      <cdr:y>0.796</cdr:y>
    </cdr:to>
    <cdr:pic>
      <cdr:nvPicPr>
        <cdr:cNvPr id="1029" name="Picture 5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1308061" y="1600863"/>
          <a:ext cx="1546582" cy="655510"/>
        </a:xfrm>
        <a:prstGeom xmlns:a="http://schemas.openxmlformats.org/drawingml/2006/main" prst="rect">
          <a:avLst/>
        </a:prstGeom>
        <a:noFill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HOME</cp:lastModifiedBy>
  <cp:revision>6</cp:revision>
  <dcterms:created xsi:type="dcterms:W3CDTF">2017-02-06T14:52:00Z</dcterms:created>
  <dcterms:modified xsi:type="dcterms:W3CDTF">2017-02-11T14:59:00Z</dcterms:modified>
</cp:coreProperties>
</file>