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E1" w:rsidRDefault="00106EE1">
      <w:pPr>
        <w:rPr>
          <w:lang w:val="en-US"/>
        </w:rPr>
      </w:pPr>
    </w:p>
    <w:p w:rsidR="00E324E5" w:rsidRPr="00E324E5" w:rsidRDefault="00E324E5" w:rsidP="00E324E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 xml:space="preserve">Список литературы к статье </w:t>
      </w:r>
      <w:r>
        <w:rPr>
          <w:rFonts w:ascii="Times New Roman" w:hAnsi="Times New Roman" w:cs="Times New Roman"/>
          <w:sz w:val="28"/>
          <w:szCs w:val="28"/>
        </w:rPr>
        <w:t xml:space="preserve">Б.А.Татарского, С.В.Попова,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Н.В.Казеновой</w:t>
      </w:r>
      <w:proofErr w:type="spellEnd"/>
    </w:p>
    <w:p w:rsidR="00E324E5" w:rsidRPr="007A0D2D" w:rsidRDefault="00E324E5" w:rsidP="00E324E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>Фибрилляция предсердий и сердечная недостаточность:</w:t>
      </w:r>
    </w:p>
    <w:p w:rsidR="00E324E5" w:rsidRDefault="00E324E5" w:rsidP="00E324E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 xml:space="preserve">подходы к антитромботической терапии </w:t>
      </w:r>
    </w:p>
    <w:p w:rsidR="00E324E5" w:rsidRDefault="00E324E5" w:rsidP="00E324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Andrew P.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Ambrosy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.,  Gregg C.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Fonarow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., 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Javed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Butler., 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Ovidiu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Chioncel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.,  Stephen J. Greene., 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Muthiah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Vaduganathan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., 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Savina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Nodari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.,  Carolyn S.P. Lam.,  Naoki Sato.,  Ami N. Shah., 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Mihai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Gheorghiade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 The global health and economic burden of hospitalizations for heart failure: lessons learned from hospitalized heart failure registries. J Am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Coll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Cardiol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2014;63:1123–33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Maggioni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A.P.,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Dahlstrom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U.,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Filippatos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Chioncel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Crespo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Leiro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Drozdz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Fruhwald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Gullestad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Logeart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Fabbri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Urso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Metra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Parissis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Persson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H.,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Ponikowski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Rauchhaus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F1610">
        <w:rPr>
          <w:rStyle w:val="person"/>
          <w:rFonts w:ascii="Times New Roman" w:hAnsi="Times New Roman" w:cs="Times New Roman"/>
          <w:sz w:val="24"/>
          <w:szCs w:val="24"/>
          <w:lang w:val="en-US"/>
        </w:rPr>
        <w:t>Voors</w:t>
      </w:r>
      <w:proofErr w:type="spellEnd"/>
      <w:r w:rsidRPr="005F1610">
        <w:rPr>
          <w:rStyle w:val="person"/>
          <w:rFonts w:ascii="Times New Roman" w:hAnsi="Times New Roman" w:cs="Times New Roman"/>
          <w:sz w:val="24"/>
          <w:szCs w:val="24"/>
          <w:lang w:val="en-US"/>
        </w:rPr>
        <w:t xml:space="preserve"> A. A.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, Nielsen O.W.,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Zannad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, F.,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Tavazzi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L.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EURObservational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Research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: regional differences and 1-year follow-up results of the Heart Failure Pilot Survey (ESC-HF Pilot).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Heart</w:t>
      </w:r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Fail</w:t>
      </w:r>
      <w:r w:rsidRPr="005F1610">
        <w:rPr>
          <w:rFonts w:ascii="Times New Roman" w:hAnsi="Times New Roman" w:cs="Times New Roman"/>
          <w:sz w:val="24"/>
          <w:szCs w:val="24"/>
        </w:rPr>
        <w:t xml:space="preserve"> 2013</w:t>
      </w:r>
      <w:proofErr w:type="gramStart"/>
      <w:r w:rsidRPr="005F1610">
        <w:rPr>
          <w:rFonts w:ascii="Times New Roman" w:hAnsi="Times New Roman" w:cs="Times New Roman"/>
          <w:sz w:val="24"/>
          <w:szCs w:val="24"/>
        </w:rPr>
        <w:t>;15:808</w:t>
      </w:r>
      <w:proofErr w:type="gramEnd"/>
      <w:r w:rsidRPr="005F1610">
        <w:rPr>
          <w:rFonts w:ascii="Times New Roman" w:hAnsi="Times New Roman" w:cs="Times New Roman"/>
          <w:sz w:val="24"/>
          <w:szCs w:val="24"/>
        </w:rPr>
        <w:t>–17.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Rewiuk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Wizner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Fedyk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-Lukasik M.,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Zdrojewski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Opolski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Dubiel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 Epidemiology and management of coexisting heart failure and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in an outpatient setting.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Pol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Med</w:t>
      </w:r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Wewn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 xml:space="preserve"> 2011;121:392–9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Levy D.,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Kenchaiah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Larson M.G., Benjamin E.,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Kupka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M., Ho KKL.,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Murabito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J.,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Vasan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R. Long-term trends in the incidence of and survival with heart failure. N</w:t>
      </w:r>
      <w:r w:rsidRPr="005F16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Engl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5F16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Med</w:t>
      </w:r>
      <w:r w:rsidRPr="005F1610">
        <w:rPr>
          <w:rFonts w:ascii="Times New Roman" w:hAnsi="Times New Roman" w:cs="Times New Roman"/>
          <w:bCs/>
          <w:sz w:val="24"/>
          <w:szCs w:val="24"/>
        </w:rPr>
        <w:t xml:space="preserve"> 2002</w:t>
      </w:r>
      <w:proofErr w:type="gramStart"/>
      <w:r w:rsidRPr="005F1610">
        <w:rPr>
          <w:rFonts w:ascii="Times New Roman" w:hAnsi="Times New Roman" w:cs="Times New Roman"/>
          <w:bCs/>
          <w:sz w:val="24"/>
          <w:szCs w:val="24"/>
        </w:rPr>
        <w:t>;347:1397</w:t>
      </w:r>
      <w:proofErr w:type="gramEnd"/>
      <w:r w:rsidRPr="005F1610">
        <w:rPr>
          <w:rFonts w:ascii="Times New Roman" w:hAnsi="Times New Roman" w:cs="Times New Roman"/>
          <w:bCs/>
          <w:sz w:val="24"/>
          <w:szCs w:val="24"/>
        </w:rPr>
        <w:t>-1402.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Maisel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W. H; Stevenson, L.W.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in heart failure: epidemiology,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pathophysiology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and rationale for therapy.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Am</w:t>
      </w:r>
      <w:r w:rsidRPr="005F161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J</w:t>
      </w:r>
      <w:r w:rsidRPr="005F161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Cardiol</w:t>
      </w:r>
      <w:proofErr w:type="spellEnd"/>
      <w:r w:rsidRPr="005F161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F1610">
        <w:rPr>
          <w:rFonts w:ascii="Times New Roman" w:hAnsi="Times New Roman" w:cs="Times New Roman"/>
          <w:sz w:val="24"/>
          <w:szCs w:val="24"/>
        </w:rPr>
        <w:t>2003;91: 2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F1610">
        <w:rPr>
          <w:rFonts w:ascii="Times New Roman" w:hAnsi="Times New Roman" w:cs="Times New Roman"/>
          <w:sz w:val="24"/>
          <w:szCs w:val="24"/>
        </w:rPr>
        <w:t>–8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Chiang C.,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Naditch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-Brule L.,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Murin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J., Goethals M., Inoue H., O’Neill J., Silva-Cardoso 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Zharinov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Gamra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H.,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Ponikowski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Lewalter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Rosenqvist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Steg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P. Distribution and risk profile of paroxysmal, persistent and permanent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in routine clinical practice: insight from the real life global survey evaluating patients with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international registry. Circ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Arrhythm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Electrophysiol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2012;5:632–639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Thomas J. Wang., Martin G. Larson., Daniel Levy.,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Ramachandran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Vasan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Eric P.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Leip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Philip A. Wolf., Ralph B.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D’Agostino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Joanne M.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Murabito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William B.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Kannel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Emelia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Benjamin. Temporal relations of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fibrillation and congestive heart </w:t>
      </w:r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failure and their joint influence on mortality: the Framingham Heart Study.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</w:rPr>
        <w:t>Circulation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</w:rPr>
        <w:t>. 2003;107:2920-2925.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Effect of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enalapril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on mortality and the development of heart failure in asymptomatic patients with reduced left ventricular ejection fractions. The SOLVD Investigators.</w:t>
      </w:r>
      <w:r w:rsidRPr="005F16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Engl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 Med 1992</w:t>
      </w:r>
      <w:proofErr w:type="gramStart"/>
      <w:r w:rsidRPr="005F1610">
        <w:rPr>
          <w:rFonts w:ascii="Times New Roman" w:hAnsi="Times New Roman" w:cs="Times New Roman"/>
          <w:sz w:val="24"/>
          <w:szCs w:val="24"/>
          <w:lang w:val="en-US"/>
        </w:rPr>
        <w:t>;327:685</w:t>
      </w:r>
      <w:proofErr w:type="gramEnd"/>
      <w:r w:rsidRPr="005F1610">
        <w:rPr>
          <w:rFonts w:ascii="Times New Roman" w:hAnsi="Times New Roman" w:cs="Times New Roman"/>
          <w:sz w:val="24"/>
          <w:szCs w:val="24"/>
          <w:lang w:val="en-US"/>
        </w:rPr>
        <w:t>–91.</w:t>
      </w:r>
      <w:r w:rsidRPr="005F16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The CONSENSUS Trial Study Group. Effects of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enalapril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on mortality in severe congestive heart failure.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5F161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Engl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J</w:t>
      </w:r>
      <w:r w:rsidRPr="005F161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Med</w:t>
      </w:r>
      <w:r w:rsidRPr="005F161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F1610">
        <w:rPr>
          <w:rFonts w:ascii="Times New Roman" w:hAnsi="Times New Roman" w:cs="Times New Roman"/>
          <w:sz w:val="24"/>
          <w:szCs w:val="24"/>
        </w:rPr>
        <w:t>1987</w:t>
      </w:r>
      <w:proofErr w:type="gramStart"/>
      <w:r w:rsidRPr="005F1610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F1610">
        <w:rPr>
          <w:rFonts w:ascii="Times New Roman" w:hAnsi="Times New Roman" w:cs="Times New Roman"/>
          <w:sz w:val="24"/>
          <w:szCs w:val="24"/>
        </w:rPr>
        <w:t>316</w:t>
      </w:r>
      <w:r w:rsidRPr="005F16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F1610">
        <w:rPr>
          <w:rFonts w:ascii="Times New Roman" w:hAnsi="Times New Roman" w:cs="Times New Roman"/>
          <w:sz w:val="24"/>
          <w:szCs w:val="24"/>
        </w:rPr>
        <w:t>1429</w:t>
      </w:r>
      <w:proofErr w:type="gramEnd"/>
      <w:r w:rsidRPr="005F1610">
        <w:rPr>
          <w:rFonts w:ascii="Times New Roman" w:hAnsi="Times New Roman" w:cs="Times New Roman"/>
          <w:sz w:val="24"/>
          <w:szCs w:val="24"/>
        </w:rPr>
        <w:t>–1435.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Yoko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Miyasaka</w:t>
      </w:r>
      <w:proofErr w:type="spellEnd"/>
      <w:r w:rsidRPr="005F161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, Marion E. Barnes</w:t>
      </w:r>
      <w:r w:rsidRPr="005F161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, Bernard J.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Gersh</w:t>
      </w:r>
      <w:proofErr w:type="spellEnd"/>
      <w:r w:rsidRPr="005F161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, Stephen S. Cha</w:t>
      </w:r>
      <w:r w:rsidRPr="005F161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, Walter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Abhayaratna</w:t>
      </w:r>
      <w:proofErr w:type="spellEnd"/>
      <w:r w:rsidRPr="005F1610">
        <w:rPr>
          <w:rFonts w:ascii="Times New Roman" w:hAnsi="Times New Roman" w:cs="Times New Roman"/>
          <w:b/>
          <w:bCs/>
          <w:sz w:val="24"/>
          <w:szCs w:val="24"/>
          <w:lang w:val="en-US"/>
        </w:rPr>
        <w:t>.,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James B. Seward</w:t>
      </w:r>
      <w:r w:rsidRPr="005F161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Toshiji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Iwasaka</w:t>
      </w:r>
      <w:proofErr w:type="spellEnd"/>
      <w:r w:rsidRPr="005F161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, Teresa S M Tsang</w:t>
      </w:r>
      <w:r w:rsidRPr="005F16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Incidence and mortality risk of congestive heart failure in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patients: a community-based study over two decades.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Eur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Heart</w:t>
      </w:r>
      <w:r w:rsidRPr="005F16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J</w:t>
      </w:r>
      <w:r w:rsidRPr="005F1610">
        <w:rPr>
          <w:rFonts w:ascii="Times New Roman" w:hAnsi="Times New Roman" w:cs="Times New Roman"/>
          <w:iCs/>
          <w:sz w:val="24"/>
          <w:szCs w:val="24"/>
        </w:rPr>
        <w:t>.</w:t>
      </w:r>
      <w:r w:rsidRPr="005F1610">
        <w:rPr>
          <w:rFonts w:ascii="Times New Roman" w:hAnsi="Times New Roman" w:cs="Times New Roman"/>
          <w:bCs/>
          <w:sz w:val="24"/>
          <w:szCs w:val="24"/>
        </w:rPr>
        <w:t xml:space="preserve"> 2006;</w:t>
      </w:r>
      <w:r w:rsidRPr="005F1610">
        <w:rPr>
          <w:rFonts w:ascii="Times New Roman" w:hAnsi="Times New Roman" w:cs="Times New Roman"/>
          <w:sz w:val="24"/>
          <w:szCs w:val="24"/>
        </w:rPr>
        <w:t>27</w:t>
      </w:r>
      <w:r w:rsidRPr="005F1610">
        <w:rPr>
          <w:rFonts w:ascii="Times New Roman" w:hAnsi="Times New Roman" w:cs="Times New Roman"/>
          <w:bCs/>
          <w:sz w:val="24"/>
          <w:szCs w:val="24"/>
        </w:rPr>
        <w:t>:</w:t>
      </w:r>
      <w:r w:rsidRPr="005F1610">
        <w:rPr>
          <w:rFonts w:ascii="Times New Roman" w:hAnsi="Times New Roman" w:cs="Times New Roman"/>
          <w:sz w:val="24"/>
          <w:szCs w:val="24"/>
        </w:rPr>
        <w:t>936–941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Pederson O., Bagger H.,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Kober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Torp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-Pederson C; for the TRACE Study Group. Impact of congestive heart failure and left ventricular systolic function on the prognostic significance of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and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flutter following myocardial infarction.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Cardiol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 2005; 100: 65 – 71. </w:t>
      </w:r>
    </w:p>
    <w:p w:rsidR="00E324E5" w:rsidRPr="007A3425" w:rsidRDefault="00E324E5" w:rsidP="00E324E5">
      <w:pPr>
        <w:pStyle w:val="a4"/>
        <w:numPr>
          <w:ilvl w:val="0"/>
          <w:numId w:val="1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25">
        <w:rPr>
          <w:rFonts w:ascii="Times New Roman" w:hAnsi="Times New Roman" w:cs="Times New Roman"/>
          <w:sz w:val="24"/>
          <w:szCs w:val="24"/>
          <w:lang w:val="en-US"/>
        </w:rPr>
        <w:t xml:space="preserve">Olsson L., </w:t>
      </w:r>
      <w:proofErr w:type="spellStart"/>
      <w:r w:rsidRPr="007A3425">
        <w:rPr>
          <w:rFonts w:ascii="Times New Roman" w:hAnsi="Times New Roman" w:cs="Times New Roman"/>
          <w:sz w:val="24"/>
          <w:szCs w:val="24"/>
          <w:lang w:val="en-US"/>
        </w:rPr>
        <w:t>Swedberg</w:t>
      </w:r>
      <w:proofErr w:type="spellEnd"/>
      <w:r w:rsidRPr="007A3425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7A3425">
        <w:rPr>
          <w:rFonts w:ascii="Times New Roman" w:hAnsi="Times New Roman" w:cs="Times New Roman"/>
          <w:sz w:val="24"/>
          <w:szCs w:val="24"/>
          <w:lang w:val="en-US"/>
        </w:rPr>
        <w:t>Ducharme</w:t>
      </w:r>
      <w:proofErr w:type="spellEnd"/>
      <w:r w:rsidRPr="007A3425">
        <w:rPr>
          <w:rFonts w:ascii="Times New Roman" w:hAnsi="Times New Roman" w:cs="Times New Roman"/>
          <w:sz w:val="24"/>
          <w:szCs w:val="24"/>
          <w:lang w:val="en-US"/>
        </w:rPr>
        <w:t xml:space="preserve"> A., Granger C., Michelson E., McMurray J., </w:t>
      </w:r>
      <w:proofErr w:type="spellStart"/>
      <w:r w:rsidRPr="007A3425">
        <w:rPr>
          <w:rFonts w:ascii="Times New Roman" w:hAnsi="Times New Roman" w:cs="Times New Roman"/>
          <w:sz w:val="24"/>
          <w:szCs w:val="24"/>
          <w:lang w:val="en-US"/>
        </w:rPr>
        <w:t>Puu</w:t>
      </w:r>
      <w:proofErr w:type="spellEnd"/>
      <w:r w:rsidRPr="007A3425">
        <w:rPr>
          <w:rFonts w:ascii="Times New Roman" w:hAnsi="Times New Roman" w:cs="Times New Roman"/>
          <w:sz w:val="24"/>
          <w:szCs w:val="24"/>
          <w:lang w:val="en-US"/>
        </w:rPr>
        <w:t xml:space="preserve"> M., Yusuf S., </w:t>
      </w:r>
      <w:proofErr w:type="spellStart"/>
      <w:r w:rsidRPr="007A3425">
        <w:rPr>
          <w:rFonts w:ascii="Times New Roman" w:hAnsi="Times New Roman" w:cs="Times New Roman"/>
          <w:sz w:val="24"/>
          <w:szCs w:val="24"/>
          <w:lang w:val="en-US"/>
        </w:rPr>
        <w:t>Pfeffer</w:t>
      </w:r>
      <w:proofErr w:type="spellEnd"/>
      <w:r w:rsidRPr="007A3425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7A3425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7A3425">
        <w:rPr>
          <w:rFonts w:ascii="Times New Roman" w:hAnsi="Times New Roman" w:cs="Times New Roman"/>
          <w:sz w:val="24"/>
          <w:szCs w:val="24"/>
          <w:lang w:val="en-US"/>
        </w:rPr>
        <w:t xml:space="preserve"> fibrillation and risk of clinical events in chronic heart failure with and without left ventricular systolic dysfunction. J Am </w:t>
      </w:r>
      <w:proofErr w:type="spellStart"/>
      <w:r w:rsidRPr="007A3425">
        <w:rPr>
          <w:rFonts w:ascii="Times New Roman" w:hAnsi="Times New Roman" w:cs="Times New Roman"/>
          <w:sz w:val="24"/>
          <w:szCs w:val="24"/>
          <w:lang w:val="en-US"/>
        </w:rPr>
        <w:t>Coll</w:t>
      </w:r>
      <w:proofErr w:type="spellEnd"/>
      <w:r w:rsidRPr="007A3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3425">
        <w:rPr>
          <w:rFonts w:ascii="Times New Roman" w:hAnsi="Times New Roman" w:cs="Times New Roman"/>
          <w:sz w:val="24"/>
          <w:szCs w:val="24"/>
          <w:lang w:val="en-US"/>
        </w:rPr>
        <w:t>Cardiol</w:t>
      </w:r>
      <w:proofErr w:type="spellEnd"/>
      <w:r w:rsidRPr="007A3425">
        <w:rPr>
          <w:rFonts w:ascii="Times New Roman" w:hAnsi="Times New Roman" w:cs="Times New Roman"/>
          <w:sz w:val="24"/>
          <w:szCs w:val="24"/>
          <w:lang w:val="en-US"/>
        </w:rPr>
        <w:t xml:space="preserve">. 2006; 47: 1997 – 2004 </w:t>
      </w:r>
    </w:p>
    <w:p w:rsidR="00E324E5" w:rsidRPr="007A3425" w:rsidRDefault="00E324E5" w:rsidP="00E324E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3425">
        <w:rPr>
          <w:lang w:val="en-US"/>
        </w:rPr>
        <w:t xml:space="preserve"> </w:t>
      </w:r>
      <w:r w:rsidRPr="007A342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Liang-Han Ling et al. </w:t>
      </w:r>
      <w:proofErr w:type="spellStart"/>
      <w:r w:rsidRPr="007A3425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Comorbidity</w:t>
      </w:r>
      <w:proofErr w:type="spellEnd"/>
      <w:r w:rsidRPr="007A342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of </w:t>
      </w:r>
      <w:proofErr w:type="spellStart"/>
      <w:r w:rsidRPr="007A3425">
        <w:rPr>
          <w:rFonts w:ascii="Times New Roman" w:hAnsi="Times New Roman" w:cs="Times New Roman"/>
          <w:bCs/>
          <w:iCs/>
          <w:sz w:val="24"/>
          <w:szCs w:val="24"/>
          <w:lang w:val="en-US"/>
        </w:rPr>
        <w:t>atrial</w:t>
      </w:r>
      <w:proofErr w:type="spellEnd"/>
      <w:r w:rsidRPr="007A342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fibrillation and heart failure. </w:t>
      </w:r>
      <w:r w:rsidRPr="00E324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Nature Reviews Cardiology</w:t>
      </w:r>
      <w:r w:rsidRPr="007A34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2016</w:t>
      </w:r>
      <w:r w:rsidRPr="00E324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;13:131–147</w:t>
      </w:r>
      <w:r w:rsidRPr="007A342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E65AA">
        <w:rPr>
          <w:rFonts w:ascii="Times New Roman" w:hAnsi="Times New Roman" w:cs="Times New Roman"/>
          <w:sz w:val="24"/>
          <w:szCs w:val="24"/>
          <w:lang w:val="en-US"/>
        </w:rPr>
        <w:t>Lalani</w:t>
      </w:r>
      <w:proofErr w:type="spellEnd"/>
      <w:r w:rsidRPr="00CE65AA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CE65AA">
        <w:rPr>
          <w:rFonts w:ascii="Times New Roman" w:hAnsi="Times New Roman" w:cs="Times New Roman"/>
          <w:sz w:val="24"/>
          <w:szCs w:val="24"/>
          <w:lang w:val="en-US"/>
        </w:rPr>
        <w:t>Schricker</w:t>
      </w:r>
      <w:proofErr w:type="spellEnd"/>
      <w:r w:rsidRPr="00CE65AA">
        <w:rPr>
          <w:rFonts w:ascii="Times New Roman" w:hAnsi="Times New Roman" w:cs="Times New Roman"/>
          <w:sz w:val="24"/>
          <w:szCs w:val="24"/>
          <w:lang w:val="en-US"/>
        </w:rPr>
        <w:t xml:space="preserve"> A., Gibson M., </w:t>
      </w:r>
      <w:proofErr w:type="spellStart"/>
      <w:r w:rsidRPr="00CE65AA">
        <w:rPr>
          <w:rFonts w:ascii="Times New Roman" w:hAnsi="Times New Roman" w:cs="Times New Roman"/>
          <w:sz w:val="24"/>
          <w:szCs w:val="24"/>
          <w:lang w:val="en-US"/>
        </w:rPr>
        <w:t>Rostamian</w:t>
      </w:r>
      <w:proofErr w:type="spellEnd"/>
      <w:r w:rsidRPr="00CE65AA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CE65AA">
        <w:rPr>
          <w:rFonts w:ascii="Times New Roman" w:hAnsi="Times New Roman" w:cs="Times New Roman"/>
          <w:sz w:val="24"/>
          <w:szCs w:val="24"/>
          <w:lang w:val="en-US"/>
        </w:rPr>
        <w:t>Krummen</w:t>
      </w:r>
      <w:proofErr w:type="spellEnd"/>
      <w:r w:rsidRPr="00CE65AA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CE65AA">
        <w:rPr>
          <w:rFonts w:ascii="Times New Roman" w:hAnsi="Times New Roman" w:cs="Times New Roman"/>
          <w:sz w:val="24"/>
          <w:szCs w:val="24"/>
          <w:lang w:val="en-US"/>
        </w:rPr>
        <w:t>Narayan</w:t>
      </w:r>
      <w:proofErr w:type="spellEnd"/>
      <w:r w:rsidRPr="00CE65AA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Pr="00CE65AA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CE65AA">
        <w:rPr>
          <w:rFonts w:ascii="Times New Roman" w:hAnsi="Times New Roman" w:cs="Times New Roman"/>
          <w:sz w:val="24"/>
          <w:szCs w:val="24"/>
          <w:lang w:val="en-US"/>
        </w:rPr>
        <w:t xml:space="preserve"> conduction slows immediately before the onset of human </w:t>
      </w:r>
      <w:proofErr w:type="spellStart"/>
      <w:r w:rsidRPr="00CE65AA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CE65AA">
        <w:rPr>
          <w:rFonts w:ascii="Times New Roman" w:hAnsi="Times New Roman" w:cs="Times New Roman"/>
          <w:sz w:val="24"/>
          <w:szCs w:val="24"/>
          <w:lang w:val="en-US"/>
        </w:rPr>
        <w:t xml:space="preserve"> fibrillation: a bi-</w:t>
      </w:r>
      <w:proofErr w:type="spellStart"/>
      <w:r w:rsidRPr="00CE65AA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CE65AA">
        <w:rPr>
          <w:rFonts w:ascii="Times New Roman" w:hAnsi="Times New Roman" w:cs="Times New Roman"/>
          <w:sz w:val="24"/>
          <w:szCs w:val="24"/>
          <w:lang w:val="en-US"/>
        </w:rPr>
        <w:t xml:space="preserve"> contact mapping study of transitions to </w:t>
      </w:r>
      <w:proofErr w:type="spellStart"/>
      <w:r w:rsidRPr="00CE65AA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CE65AA">
        <w:rPr>
          <w:rFonts w:ascii="Times New Roman" w:hAnsi="Times New Roman" w:cs="Times New Roman"/>
          <w:sz w:val="24"/>
          <w:szCs w:val="24"/>
          <w:lang w:val="en-US"/>
        </w:rPr>
        <w:t xml:space="preserve"> fibrillation. J Am </w:t>
      </w:r>
      <w:proofErr w:type="spellStart"/>
      <w:r w:rsidRPr="00CE65AA">
        <w:rPr>
          <w:rFonts w:ascii="Times New Roman" w:hAnsi="Times New Roman" w:cs="Times New Roman"/>
          <w:sz w:val="24"/>
          <w:szCs w:val="24"/>
          <w:lang w:val="en-US"/>
        </w:rPr>
        <w:t>Coll</w:t>
      </w:r>
      <w:proofErr w:type="spellEnd"/>
      <w:r w:rsidRPr="00CE65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65AA">
        <w:rPr>
          <w:rFonts w:ascii="Times New Roman" w:hAnsi="Times New Roman" w:cs="Times New Roman"/>
          <w:sz w:val="24"/>
          <w:szCs w:val="24"/>
          <w:lang w:val="en-US"/>
        </w:rPr>
        <w:t>Cardiol</w:t>
      </w:r>
      <w:proofErr w:type="spellEnd"/>
      <w:r w:rsidRPr="00CE65AA">
        <w:rPr>
          <w:rFonts w:ascii="Times New Roman" w:hAnsi="Times New Roman" w:cs="Times New Roman"/>
          <w:sz w:val="24"/>
          <w:szCs w:val="24"/>
          <w:lang w:val="en-US"/>
        </w:rPr>
        <w:t xml:space="preserve"> 2012</w:t>
      </w:r>
      <w:proofErr w:type="gramStart"/>
      <w:r w:rsidRPr="00CE65AA">
        <w:rPr>
          <w:rFonts w:ascii="Times New Roman" w:hAnsi="Times New Roman" w:cs="Times New Roman"/>
          <w:sz w:val="24"/>
          <w:szCs w:val="24"/>
          <w:lang w:val="en-US"/>
        </w:rPr>
        <w:t>;59:595</w:t>
      </w:r>
      <w:proofErr w:type="gramEnd"/>
      <w:r w:rsidRPr="00CE65AA">
        <w:rPr>
          <w:rFonts w:ascii="Times New Roman" w:hAnsi="Times New Roman" w:cs="Times New Roman"/>
          <w:sz w:val="24"/>
          <w:szCs w:val="24"/>
          <w:lang w:val="en-US"/>
        </w:rPr>
        <w:t>–606</w:t>
      </w:r>
      <w:r w:rsidRPr="00CE65A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Healey J., Israel C., Connolly S.,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Hohnloser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S., Nair G.,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Divakaramenon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Capucci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A., Van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Gelder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I., Lau C., Gold M., Carlson M.,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Themeles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Morillo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C. Relevance of electrical remodeling in human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fibrillation: results of the asymptomatic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and stroke evaluation in pacemaker patients and the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reduction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pacing trial mechanisms of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study. Circ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Arrhythm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Electrophysiol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2012;5:626–631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Li D., Shinagawa K., Pang L., Leung T.K., Cardin S., Wang Z.,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Nattel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S. Effects of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angiotensin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-converting enzyme inhibition on the development of the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substrate in dogs with ventricular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tachypacing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>-induced congestive heart failure. Circulation 2001;104:2608–2614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lastRenderedPageBreak/>
        <w:t>Narayan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S., Franz M.,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Clopton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Pruvot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Krummen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D.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Repolarization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alternans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reveals vulnerability to human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fibrillation. Circulation 2011;123:2922–2930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DEC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Diagnosis and treatment of </w:t>
      </w:r>
      <w:proofErr w:type="spellStart"/>
      <w:r w:rsidRPr="00662DEC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atrial</w:t>
      </w:r>
      <w:proofErr w:type="spellEnd"/>
      <w:r w:rsidRPr="00662DEC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fibrillation. Recommendations RSC, RSSA AND ACS, 2012.</w:t>
      </w:r>
      <w:r w:rsidRPr="005F161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Russian</w:t>
      </w:r>
      <w:proofErr w:type="spellEnd"/>
      <w:r w:rsidRPr="005F16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Pr="005F1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Национальные рекомендации по диагностике и лечению фибрилляции предсердий (2012) под эгидой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</w:rPr>
        <w:t>обществ-РКО</w:t>
      </w:r>
      <w:proofErr w:type="spellEnd"/>
      <w:proofErr w:type="gram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5F1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ВНОА и АССХ </w:t>
      </w:r>
      <w:r w:rsidRPr="005F16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http://www.scardio.ru/rekomendacii/rekomendacii_rko/nacionalnye_rekomendacii_po_diagnostike_i_lecheniyu_fibrillyacii_predserdiy_2012).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European Heart Rhythm Association/Heart Failure Association joint consensus document on arrhythmias in heart failure, endorsed by the Heart Rhythm Society and the Asia Pacific Heart Rhythm Society.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Europace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2016; 18:12–36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2016 ESC Guidelines for the management of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fibrillation developed in collaboration with EACTS </w:t>
      </w:r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European Heart Journal doi:10.1093/</w:t>
      </w:r>
      <w:proofErr w:type="spellStart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eurheartj</w:t>
      </w:r>
      <w:proofErr w:type="spellEnd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/ehw210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5F1610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2016 ESC Guidelines for the diagnosis and treatment of acute and chronic heart failure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European Heart Journal. 2016. doi:10.1093/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eurheartj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>/ehw128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Vemmos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Ntaios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Savvari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Vemmou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Koroboki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Manios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E.. Stroke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aetiology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and predictors of outcome in patients with heart failure and acute stroke: a 10-year follow-up study.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Heart</w:t>
      </w:r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Fail</w:t>
      </w:r>
      <w:r w:rsidRPr="005F1610">
        <w:rPr>
          <w:rFonts w:ascii="Times New Roman" w:hAnsi="Times New Roman" w:cs="Times New Roman"/>
          <w:sz w:val="24"/>
          <w:szCs w:val="24"/>
        </w:rPr>
        <w:t xml:space="preserve"> 2012</w:t>
      </w:r>
      <w:proofErr w:type="gramStart"/>
      <w:r w:rsidRPr="005F1610">
        <w:rPr>
          <w:rFonts w:ascii="Times New Roman" w:hAnsi="Times New Roman" w:cs="Times New Roman"/>
          <w:sz w:val="24"/>
          <w:szCs w:val="24"/>
        </w:rPr>
        <w:t>;14:211</w:t>
      </w:r>
      <w:proofErr w:type="gramEnd"/>
      <w:r w:rsidRPr="005F1610">
        <w:rPr>
          <w:rFonts w:ascii="Times New Roman" w:hAnsi="Times New Roman" w:cs="Times New Roman"/>
          <w:sz w:val="24"/>
          <w:szCs w:val="24"/>
        </w:rPr>
        <w:t>–8.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Magnani</w:t>
      </w:r>
      <w:proofErr w:type="spellEnd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G., </w:t>
      </w:r>
      <w:proofErr w:type="spellStart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Giugliano</w:t>
      </w:r>
      <w:proofErr w:type="spellEnd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R., Ruff C., </w:t>
      </w:r>
      <w:hyperlink r:id="rId5" w:history="1">
        <w:r w:rsidRPr="005F161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Murphy</w:t>
        </w:r>
      </w:hyperlink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610">
        <w:rPr>
          <w:rStyle w:val="name"/>
          <w:rFonts w:ascii="Times New Roman" w:hAnsi="Times New Roman" w:cs="Times New Roman"/>
          <w:sz w:val="24"/>
          <w:szCs w:val="24"/>
          <w:lang w:val="en-US"/>
        </w:rPr>
        <w:t xml:space="preserve">S., </w:t>
      </w:r>
      <w:hyperlink r:id="rId6" w:history="1">
        <w:proofErr w:type="spellStart"/>
        <w:r w:rsidRPr="005F161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Nordio</w:t>
        </w:r>
        <w:proofErr w:type="spellEnd"/>
      </w:hyperlink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610">
        <w:rPr>
          <w:rStyle w:val="name"/>
          <w:rFonts w:ascii="Times New Roman" w:hAnsi="Times New Roman" w:cs="Times New Roman"/>
          <w:sz w:val="24"/>
          <w:szCs w:val="24"/>
          <w:lang w:val="en-US"/>
        </w:rPr>
        <w:t xml:space="preserve">N., </w:t>
      </w:r>
      <w:hyperlink r:id="rId7" w:history="1">
        <w:proofErr w:type="spellStart"/>
        <w:r w:rsidRPr="005F161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Rutman</w:t>
        </w:r>
        <w:proofErr w:type="spellEnd"/>
      </w:hyperlink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610">
        <w:rPr>
          <w:rStyle w:val="name"/>
          <w:rFonts w:ascii="Times New Roman" w:hAnsi="Times New Roman" w:cs="Times New Roman"/>
          <w:sz w:val="24"/>
          <w:szCs w:val="24"/>
          <w:lang w:val="en-US"/>
        </w:rPr>
        <w:t xml:space="preserve">H., </w:t>
      </w:r>
      <w:hyperlink r:id="rId8" w:history="1">
        <w:r w:rsidRPr="005F161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Curt</w:t>
        </w:r>
      </w:hyperlink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610">
        <w:rPr>
          <w:rStyle w:val="name"/>
          <w:rFonts w:ascii="Times New Roman" w:hAnsi="Times New Roman" w:cs="Times New Roman"/>
          <w:sz w:val="24"/>
          <w:szCs w:val="24"/>
          <w:lang w:val="en-US"/>
        </w:rPr>
        <w:t xml:space="preserve">V., </w:t>
      </w:r>
      <w:hyperlink r:id="rId9" w:history="1">
        <w:proofErr w:type="spellStart"/>
        <w:r w:rsidRPr="005F161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Mercuri</w:t>
        </w:r>
        <w:proofErr w:type="spellEnd"/>
      </w:hyperlink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610">
        <w:rPr>
          <w:rStyle w:val="name"/>
          <w:rFonts w:ascii="Times New Roman" w:hAnsi="Times New Roman" w:cs="Times New Roman"/>
          <w:sz w:val="24"/>
          <w:szCs w:val="24"/>
          <w:lang w:val="en-US"/>
        </w:rPr>
        <w:t xml:space="preserve">M., </w:t>
      </w:r>
      <w:proofErr w:type="spellStart"/>
      <w:r w:rsidRPr="005F1610">
        <w:rPr>
          <w:rStyle w:val="name"/>
          <w:rFonts w:ascii="Times New Roman" w:hAnsi="Times New Roman" w:cs="Times New Roman"/>
          <w:sz w:val="24"/>
          <w:szCs w:val="24"/>
          <w:lang w:val="en-US"/>
        </w:rPr>
        <w:t>Braunwald</w:t>
      </w:r>
      <w:proofErr w:type="spellEnd"/>
      <w:r w:rsidRPr="005F1610">
        <w:rPr>
          <w:rStyle w:val="name"/>
          <w:rFonts w:ascii="Times New Roman" w:hAnsi="Times New Roman" w:cs="Times New Roman"/>
          <w:sz w:val="24"/>
          <w:szCs w:val="24"/>
          <w:lang w:val="en-US"/>
        </w:rPr>
        <w:t xml:space="preserve">  E., </w:t>
      </w:r>
      <w:proofErr w:type="spellStart"/>
      <w:r w:rsidRPr="005F1610">
        <w:rPr>
          <w:rStyle w:val="name"/>
          <w:rFonts w:ascii="Times New Roman" w:hAnsi="Times New Roman" w:cs="Times New Roman"/>
          <w:sz w:val="24"/>
          <w:szCs w:val="24"/>
          <w:lang w:val="en-US"/>
        </w:rPr>
        <w:t>Antman</w:t>
      </w:r>
      <w:proofErr w:type="spellEnd"/>
      <w:r w:rsidRPr="005F1610">
        <w:rPr>
          <w:rStyle w:val="name"/>
          <w:rFonts w:ascii="Times New Roman" w:hAnsi="Times New Roman" w:cs="Times New Roman"/>
          <w:sz w:val="24"/>
          <w:szCs w:val="24"/>
          <w:lang w:val="en-US"/>
        </w:rPr>
        <w:t xml:space="preserve"> E. </w:t>
      </w:r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Efficacy and safety of </w:t>
      </w:r>
      <w:proofErr w:type="spellStart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edoxaban</w:t>
      </w:r>
      <w:proofErr w:type="spellEnd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compared with </w:t>
      </w:r>
      <w:proofErr w:type="spellStart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warfarin</w:t>
      </w:r>
      <w:proofErr w:type="spellEnd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patients with </w:t>
      </w:r>
      <w:proofErr w:type="spellStart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atrial</w:t>
      </w:r>
      <w:proofErr w:type="spellEnd"/>
      <w:r w:rsidRPr="005F16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fibrillation and heart failure: Insights from Engage-AFTIMI 48. Circulation. 2014;130:Abstract 12680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>Line 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Melgaard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>., Anders 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Gorst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>-Rasmussen., Deirdre Lane., Lars  Rasmussen., 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Torben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 Larsen., G. H. Lip. Assessment of the CHA</w:t>
      </w:r>
      <w:r w:rsidRPr="005F161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Pr="005F161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-VASc Score in Predicting Ischemic Stroke,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Thromboembolism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, and Death in Patients </w:t>
      </w:r>
      <w:proofErr w:type="gram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Heart Failure With and Without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JAMA.</w:t>
      </w:r>
      <w:r w:rsidRPr="005F16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2015;314(10):1030-1038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Ziad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Hijazi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., Jonas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Oldgren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., Ulrika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Anderssonc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., Stuart J. Connolly., Michael D.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Ezekowitz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., Stefan H.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Hohnloser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., Paul A. Reilly.,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Dragos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Vinereanu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Agneta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Siegbahn.,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Salim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Yusuf., Lars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Wallentin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Cardiac Biomarkers Are Associated With an Increased Risk of Stroke and Death in Patients </w:t>
      </w:r>
      <w:proofErr w:type="gram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With</w:t>
      </w:r>
      <w:proofErr w:type="gram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Fibrillation A Randomized Evaluation of Long-Term Anticoagulation Therapy (RE-LY)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Substudy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5F1610">
        <w:rPr>
          <w:rFonts w:ascii="Times New Roman" w:hAnsi="Times New Roman" w:cs="Times New Roman"/>
          <w:bCs/>
          <w:iCs/>
          <w:sz w:val="24"/>
          <w:szCs w:val="24"/>
        </w:rPr>
        <w:t>Circulation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</w:rPr>
        <w:t>. 2012;125:1605-1616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Ziad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Hijazi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on behalf of the ARISTOTLE and STABILITY Investigators. The ABC (age, biomarkers, </w:t>
      </w:r>
      <w:proofErr w:type="gram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clinical</w:t>
      </w:r>
      <w:proofErr w:type="gram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history) stroke risk score: a biomarker-based risk score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forpredicting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stroke in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fibrillation. </w:t>
      </w:r>
      <w:proofErr w:type="spellStart"/>
      <w:r w:rsidRPr="005F1610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>: 10.1093/</w:t>
      </w:r>
      <w:proofErr w:type="spellStart"/>
      <w:r w:rsidRPr="005F1610">
        <w:rPr>
          <w:rFonts w:ascii="Times New Roman" w:hAnsi="Times New Roman" w:cs="Times New Roman"/>
          <w:sz w:val="24"/>
          <w:szCs w:val="24"/>
        </w:rPr>
        <w:t>eurheartj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>/ehw054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lastRenderedPageBreak/>
        <w:t>Pisters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R., Lane DA.,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Nieuwlaat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R., de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Vos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CB.,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Crijns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HJ., Lip GY. A novel user-friendly score (HAS-BLED) to assess 1-year risk of major bleeding in patients with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fibrillation: the Euro Heart Survey. </w:t>
      </w:r>
      <w:proofErr w:type="spellStart"/>
      <w:r w:rsidRPr="005F1610">
        <w:rPr>
          <w:rFonts w:ascii="Times New Roman" w:hAnsi="Times New Roman" w:cs="Times New Roman"/>
          <w:sz w:val="24"/>
          <w:szCs w:val="24"/>
        </w:rPr>
        <w:t>Chest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 xml:space="preserve"> 2010;138(5):1093-100.</w:t>
      </w:r>
    </w:p>
    <w:p w:rsidR="00E324E5" w:rsidRPr="005F1610" w:rsidRDefault="00E324E5" w:rsidP="00E324E5">
      <w:pPr>
        <w:pStyle w:val="a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E324E5" w:rsidRPr="009E3E27" w:rsidRDefault="00E324E5" w:rsidP="00E324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E27">
        <w:rPr>
          <w:rFonts w:ascii="Times New Roman" w:hAnsi="Times New Roman" w:cs="Times New Roman"/>
          <w:iCs/>
          <w:sz w:val="24"/>
          <w:szCs w:val="24"/>
          <w:lang w:val="en-US"/>
        </w:rPr>
        <w:t>Hijazi</w:t>
      </w:r>
      <w:proofErr w:type="spellEnd"/>
      <w:r w:rsidRPr="009E3E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Z </w:t>
      </w:r>
      <w:r w:rsidRPr="009E3E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 behalf of the </w:t>
      </w:r>
      <w:r w:rsidRPr="009E3E27">
        <w:rPr>
          <w:rStyle w:val="ce-colla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ARISTOTLE and RE-LY Investigators.</w:t>
      </w:r>
      <w:r w:rsidRPr="009E3E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 novel biomarker based ABC (age, biomarkers, </w:t>
      </w:r>
      <w:proofErr w:type="gramStart"/>
      <w:r w:rsidRPr="009E3E27">
        <w:rPr>
          <w:rFonts w:ascii="Times New Roman" w:hAnsi="Times New Roman" w:cs="Times New Roman"/>
          <w:iCs/>
          <w:sz w:val="24"/>
          <w:szCs w:val="24"/>
          <w:lang w:val="en-US"/>
        </w:rPr>
        <w:t>clinical</w:t>
      </w:r>
      <w:proofErr w:type="gramEnd"/>
      <w:r w:rsidRPr="009E3E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history) bleeding risk score for patients with </w:t>
      </w:r>
      <w:proofErr w:type="spellStart"/>
      <w:r w:rsidRPr="009E3E27">
        <w:rPr>
          <w:rFonts w:ascii="Times New Roman" w:hAnsi="Times New Roman" w:cs="Times New Roman"/>
          <w:iCs/>
          <w:sz w:val="24"/>
          <w:szCs w:val="24"/>
          <w:lang w:val="en-US"/>
        </w:rPr>
        <w:t>atrial</w:t>
      </w:r>
      <w:proofErr w:type="spellEnd"/>
      <w:r w:rsidRPr="009E3E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fibrillation: a derivation and validation study. Lancet. 2016, 327</w:t>
      </w:r>
      <w:r w:rsidRPr="009E3E27">
        <w:rPr>
          <w:rFonts w:ascii="Times New Roman" w:hAnsi="Times New Roman" w:cs="Times New Roman"/>
          <w:iCs/>
          <w:sz w:val="24"/>
          <w:szCs w:val="24"/>
        </w:rPr>
        <w:t>(</w:t>
      </w:r>
      <w:r w:rsidRPr="009E3E27">
        <w:rPr>
          <w:rFonts w:ascii="Times New Roman" w:hAnsi="Times New Roman" w:cs="Times New Roman"/>
          <w:iCs/>
          <w:sz w:val="24"/>
          <w:szCs w:val="24"/>
          <w:lang w:val="en-US"/>
        </w:rPr>
        <w:t>10035</w:t>
      </w:r>
      <w:r w:rsidRPr="009E3E27">
        <w:rPr>
          <w:rFonts w:ascii="Times New Roman" w:hAnsi="Times New Roman" w:cs="Times New Roman"/>
          <w:iCs/>
          <w:sz w:val="24"/>
          <w:szCs w:val="24"/>
        </w:rPr>
        <w:t>):</w:t>
      </w:r>
      <w:r w:rsidRPr="009E3E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2302-2311, 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Hart RG, Pearce LA, Aguilar MI. Meta-analysis: antithrombotic therapy to prevent stroke in patients who have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nonvalvular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fibrillation. Ann Intern Med 2007;146(12):857-67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Agarwal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M,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Apostolakis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S, Lane DA, Lip GY. The impact of heart failure and left ventricular dysfunction in predicting stroke,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thromboembolism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and mortality in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fibrillation patients: a systematic review.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Clin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Ther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2014</w:t>
      </w:r>
      <w:proofErr w:type="gram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;36:1135</w:t>
      </w:r>
      <w:proofErr w:type="gram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–1144.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Caterina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R., Husted S.,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Wallentin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Andreotti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Arnesen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H., Bachmann F. Vitamin K antagonists in heart disease: current status and perspectives (Section III). Position paper of the ESC Working Group on Thrombosis—Task Force on Anticoagulants in Heart Disease.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Thromb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Haemost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 xml:space="preserve"> 2013;110:1087–107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Fauchier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Angoulvant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D., Lip GY. The SAMe-TT2R2 score and quality of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anticoagulationin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fibrillation: a simple aid to decision-making on who is suitable (or not) for vitamin K antagonists.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Europace</w:t>
      </w:r>
      <w:proofErr w:type="spellEnd"/>
      <w:r w:rsidRPr="005F1610">
        <w:rPr>
          <w:rFonts w:ascii="Times New Roman" w:hAnsi="Times New Roman" w:cs="Times New Roman"/>
          <w:sz w:val="24"/>
          <w:szCs w:val="24"/>
        </w:rPr>
        <w:t xml:space="preserve"> 2015;17:671–3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Connolly SJ.,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Ezekowitz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MD., Yusuf S.,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Eikelboom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Oldgren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J., Parekh A., Pogue J., Reilly PA.,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Themeles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Varrone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J., Wang S.,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Alings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M., Xavier D., Zhu J., Diaz R., Lewis BS., Darius H.,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Diener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HC., Joyner CD.,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Wallentin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L. RE-LY Steering Committee and Investigators.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Dabigatran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versus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warfarin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in patients with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Engl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J Med</w:t>
      </w:r>
      <w:r w:rsidRPr="005F16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2009;361:1139–1151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Patel MR., Mahaffey KW.,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Garg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J., Pan G., Singer DE.,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Hacke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W.,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Breithardt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Halperin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JL.,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Hankey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GJ.,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Piccini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JP., Becker RC.,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Nessel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CC.,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Paolini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JF., Berkowitz SD., Fox KA.,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Califf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RM; ROCKET AF Investigators.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Rivaroxaban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versus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warfarin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nonvalvular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Engl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J Med</w:t>
      </w:r>
      <w:r w:rsidRPr="005F16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2011;365:883–891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Granger CB., Alexander JH., McMurray JJ., Lopes RD.,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Hylek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EM., Hanna M., Al-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Khalidi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HR., Ansell 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Atar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Avezum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Bahit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MC., Diaz R., Easton JD.,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Ezekowitz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JA.,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Flaker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G., Garcia D.,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Geraldes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Gersh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BJ.,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Golitsyn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Goto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S., Hermosillo AG.,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Hohnloser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SH., Horowitz J., Mohan P.,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Jansky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P., Lewis BS., Lopez-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Sendon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JL.,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Pais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Parkhomenko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Verheugt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FW., Zhu 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Wallentin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L; ARISTOTLE Committees and Investigators.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Apixaban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versus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warfarin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in patients with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fibrillation.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NEngl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J Med</w:t>
      </w:r>
      <w:r w:rsidRPr="005F16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2011;365:981–992</w:t>
      </w:r>
    </w:p>
    <w:p w:rsidR="00E324E5" w:rsidRPr="009E3E27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lastRenderedPageBreak/>
        <w:t>Giugliano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RP., Ruff CT.,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Braunwald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E., Murphy SA.,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Wiviott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SD.,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Halperin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JL., Waldo AL.,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Ezekowitz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MD.,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Weitz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JI.,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Spinar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Ruzyllo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W.,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Ruda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Koretsune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Y.,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Betcher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J., Shi M., Grip LT., Patel SP., Patel I.,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Hanyok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Mercuri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Antman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EM. ENGAGE AF-TIMI 48 Investigators.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Edoxaban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versus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warfarin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in patients with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Engl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J Med</w:t>
      </w:r>
      <w:r w:rsidRPr="005F161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2013;369:2093–2104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Ruff CT.,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Giugliano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F1610">
        <w:rPr>
          <w:rFonts w:ascii="Times New Roman" w:hAnsi="Times New Roman" w:cs="Times New Roman"/>
          <w:sz w:val="24"/>
          <w:szCs w:val="24"/>
          <w:lang w:val="en-US"/>
        </w:rPr>
        <w:t>RP.,</w:t>
      </w:r>
      <w:proofErr w:type="gram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Braunwald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E,. Hoffman EB.,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Deenadayalu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N.,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Ezekowitz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MD.,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Camm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AJ.,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Weitz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JI., Lewis BS.,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Parkhomenko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A., Yamashita T.,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Antman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EM. Comparison of the efficacy and safety of new oral anticoagulants with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warfarin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in patients with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fibrillation: a meta-analysis of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randomised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trials.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Lancet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2014</w:t>
      </w:r>
      <w:proofErr w:type="gramStart"/>
      <w:r w:rsidRPr="005F1610">
        <w:rPr>
          <w:rFonts w:ascii="Times New Roman" w:hAnsi="Times New Roman" w:cs="Times New Roman"/>
          <w:sz w:val="24"/>
          <w:szCs w:val="24"/>
          <w:lang w:val="en-US"/>
        </w:rPr>
        <w:t>;383:955</w:t>
      </w:r>
      <w:proofErr w:type="gramEnd"/>
      <w:r w:rsidRPr="005F1610">
        <w:rPr>
          <w:rFonts w:ascii="Times New Roman" w:hAnsi="Times New Roman" w:cs="Times New Roman"/>
          <w:sz w:val="24"/>
          <w:szCs w:val="24"/>
          <w:lang w:val="en-US"/>
        </w:rPr>
        <w:t>–962.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Chan N.,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Paikin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J., Hirsh J.,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Lauw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Eikelboom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J., Ginsberg J. New oral anticoagulants for stroke prevention in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fibrillation: impact of study design, double counting and unexpected findings on interpretation of study results and conclusions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Thromb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Haemost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2014;111:798—807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Ferreira J,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Ezekowitz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MD, Connolly SJ,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Brueckmann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Fraessdorf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M, Reilly PA, Yusuf S,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Wallentin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L, Investigators RE-LY.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Dabigatran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compared with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warfarin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in patients with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 and symptomatic heart failure: a subgroup analysis of the RE-LY trial. </w:t>
      </w:r>
      <w:proofErr w:type="spellStart"/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Eur</w:t>
      </w:r>
      <w:proofErr w:type="spellEnd"/>
      <w:r w:rsidRPr="005F16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J</w:t>
      </w:r>
      <w:r w:rsidRPr="005F16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Heart</w:t>
      </w:r>
      <w:r w:rsidRPr="005F16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Fail</w:t>
      </w:r>
      <w:r w:rsidRPr="005F16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</w:rPr>
        <w:t>2013;15:1053–1061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F1610">
        <w:rPr>
          <w:rFonts w:ascii="Times New Roman" w:hAnsi="Times New Roman" w:cs="Times New Roman"/>
          <w:sz w:val="24"/>
          <w:szCs w:val="24"/>
          <w:lang w:val="en-US"/>
        </w:rPr>
        <w:t>van</w:t>
      </w:r>
      <w:proofErr w:type="gram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Diepen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Hellkamp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AS, Patel MR, Becker RC,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Breithardt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Hacke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W,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Halperin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JL,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Hankey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GJ,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Nessel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CC, Singer DE, Berkowitz SD,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Califf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RM, Fox KA, Mahaffey KW. Efficacy and safety of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rivaroxaban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in patients with heart failure and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nonvalvular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fibrillation: insights from ROCKET AF.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Circ</w:t>
      </w:r>
      <w:r w:rsidRPr="005F16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Heart</w:t>
      </w:r>
      <w:r w:rsidRPr="005F16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>Fail</w:t>
      </w:r>
      <w:r w:rsidRPr="005F16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sz w:val="24"/>
          <w:szCs w:val="24"/>
        </w:rPr>
        <w:t>2013;6:740–747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McMurray JJ,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Ezekowitz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JA, Lewis BS,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Gersh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BJ, van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Diepen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Amerena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Bartunek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Wojdyla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DM,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Wallentin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L, Granger CB. ARISTOTLE Committees and Investigators. Left ventricular systolic dysfunction, heart failure, and the risk of stroke and systemic embolism in patients with </w:t>
      </w:r>
      <w:proofErr w:type="spellStart"/>
      <w:r w:rsidRPr="005F1610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sz w:val="24"/>
          <w:szCs w:val="24"/>
          <w:lang w:val="en-US"/>
        </w:rPr>
        <w:t xml:space="preserve"> fibrillation: insights from the ARISTOTLE trial. </w:t>
      </w:r>
      <w:r w:rsidRPr="005F16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Circ Heart Fail </w:t>
      </w:r>
      <w:r w:rsidRPr="005F1610">
        <w:rPr>
          <w:rFonts w:ascii="Times New Roman" w:hAnsi="Times New Roman" w:cs="Times New Roman"/>
          <w:sz w:val="24"/>
          <w:szCs w:val="24"/>
          <w:lang w:val="en-US"/>
        </w:rPr>
        <w:t>2013;6:451–60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Qinmei</w:t>
      </w:r>
      <w:proofErr w:type="spell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Xiong</w:t>
      </w:r>
      <w:proofErr w:type="spell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Yee Cheng Lau, </w:t>
      </w:r>
      <w:proofErr w:type="spell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Keitaro</w:t>
      </w:r>
      <w:proofErr w:type="spell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Senoo</w:t>
      </w:r>
      <w:proofErr w:type="spell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Deirdre A. Lane, </w:t>
      </w:r>
      <w:proofErr w:type="spell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Kui</w:t>
      </w:r>
      <w:proofErr w:type="spell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Hong, Gregory Y.H. Lip.</w:t>
      </w:r>
      <w:r w:rsidRPr="005F16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Non-vitamin K antagonist oral anticoagulants (NOACs) in patients with concomitant </w:t>
      </w:r>
      <w:proofErr w:type="spell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fibrillation and heart failure: a systemic </w:t>
      </w:r>
      <w:proofErr w:type="gram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review  and</w:t>
      </w:r>
      <w:proofErr w:type="gram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meta-analysis of randomized trials. </w:t>
      </w:r>
      <w:proofErr w:type="spell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European</w:t>
      </w:r>
      <w:proofErr w:type="spell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</w:t>
      </w:r>
      <w:proofErr w:type="spell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Heart</w:t>
      </w:r>
      <w:proofErr w:type="spell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Failure</w:t>
      </w:r>
      <w:proofErr w:type="spellEnd"/>
      <w:r w:rsidRPr="005F1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(2015) 17, 1192–1200 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Gianluigi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Savarese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., Robert P.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Giugliano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., Giuseppe M.C.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Rosano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., John McMurray., Giulia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Magnani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.,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Gerasimos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Filippatos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., Santo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Dellegrottaglie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., Lars H. Lund., Bruno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Trimarco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., Pasquale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Perrone-Filardi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Efficacy and Safety of Novel Oral Anticoagulants in Patients </w:t>
      </w:r>
      <w:proofErr w:type="gram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</w:t>
      </w:r>
      <w:proofErr w:type="gram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Fibrillation and Heart Failure. A Meta-Analysis. J Am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Coll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Cardiol</w:t>
      </w:r>
      <w:proofErr w:type="spellEnd"/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HF 2016 http: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5F16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/d x.doi.org/10.</w:t>
      </w:r>
      <w:r w:rsidRPr="00D016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1016/j.jchf.2016.07.012</w:t>
      </w:r>
    </w:p>
    <w:p w:rsidR="00E324E5" w:rsidRPr="005F1610" w:rsidRDefault="00E324E5" w:rsidP="00E324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Nielsen </w:t>
      </w:r>
      <w:proofErr w:type="gram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PB.,</w:t>
      </w:r>
      <w:proofErr w:type="gram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Lane DA., Rasmussen LH., Lip GY., Larsen TB. Renal function and non-vitamin K oral anticoagulants in comparison with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warfarin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safety and efficacy outcomes in </w:t>
      </w:r>
      <w:proofErr w:type="spellStart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>atrial</w:t>
      </w:r>
      <w:proofErr w:type="spellEnd"/>
      <w:r w:rsidRPr="005F16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fibrillation patients: a systemic review and meta-regression analysis. </w:t>
      </w:r>
      <w:proofErr w:type="spellStart"/>
      <w:r w:rsidRPr="005F1610">
        <w:rPr>
          <w:rFonts w:ascii="Times New Roman" w:hAnsi="Times New Roman" w:cs="Times New Roman"/>
          <w:bCs/>
          <w:iCs/>
          <w:sz w:val="24"/>
          <w:szCs w:val="24"/>
          <w:lang w:val="en-US"/>
        </w:rPr>
        <w:t>Clin</w:t>
      </w:r>
      <w:proofErr w:type="spellEnd"/>
      <w:r w:rsidRPr="005F16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Res</w:t>
      </w:r>
      <w:r w:rsidRPr="005F16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F1610">
        <w:rPr>
          <w:rFonts w:ascii="Times New Roman" w:hAnsi="Times New Roman" w:cs="Times New Roman"/>
          <w:bCs/>
          <w:iCs/>
          <w:sz w:val="24"/>
          <w:szCs w:val="24"/>
          <w:lang w:val="en-US"/>
        </w:rPr>
        <w:t>Cardiol</w:t>
      </w:r>
      <w:proofErr w:type="spellEnd"/>
      <w:r w:rsidRPr="005F16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F1610">
        <w:rPr>
          <w:rFonts w:ascii="Times New Roman" w:hAnsi="Times New Roman" w:cs="Times New Roman"/>
          <w:bCs/>
          <w:sz w:val="24"/>
          <w:szCs w:val="24"/>
        </w:rPr>
        <w:t>2015;104:418–429</w:t>
      </w:r>
    </w:p>
    <w:p w:rsidR="00E324E5" w:rsidRPr="00E324E5" w:rsidRDefault="00E324E5">
      <w:pPr>
        <w:rPr>
          <w:lang w:val="en-US"/>
        </w:rPr>
      </w:pPr>
    </w:p>
    <w:sectPr w:rsidR="00E324E5" w:rsidRPr="00E324E5" w:rsidSect="0010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5E18"/>
    <w:multiLevelType w:val="hybridMultilevel"/>
    <w:tmpl w:val="312821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24E5"/>
    <w:rsid w:val="00106EE1"/>
    <w:rsid w:val="00193B0B"/>
    <w:rsid w:val="00E3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24E5"/>
    <w:rPr>
      <w:color w:val="0000FF"/>
      <w:u w:val="single"/>
    </w:rPr>
  </w:style>
  <w:style w:type="character" w:customStyle="1" w:styleId="person">
    <w:name w:val="person"/>
    <w:basedOn w:val="a0"/>
    <w:rsid w:val="00E324E5"/>
  </w:style>
  <w:style w:type="paragraph" w:styleId="a4">
    <w:name w:val="List Paragraph"/>
    <w:basedOn w:val="a"/>
    <w:uiPriority w:val="34"/>
    <w:qFormat/>
    <w:rsid w:val="00E324E5"/>
    <w:pPr>
      <w:ind w:left="720"/>
      <w:contextualSpacing/>
    </w:pPr>
  </w:style>
  <w:style w:type="character" w:styleId="a5">
    <w:name w:val="Strong"/>
    <w:basedOn w:val="a0"/>
    <w:uiPriority w:val="22"/>
    <w:qFormat/>
    <w:rsid w:val="00E324E5"/>
    <w:rPr>
      <w:b/>
      <w:bCs/>
    </w:rPr>
  </w:style>
  <w:style w:type="character" w:customStyle="1" w:styleId="name">
    <w:name w:val="name"/>
    <w:basedOn w:val="a0"/>
    <w:rsid w:val="00E324E5"/>
  </w:style>
  <w:style w:type="character" w:customStyle="1" w:styleId="ce-collab">
    <w:name w:val="ce-collab"/>
    <w:basedOn w:val="a0"/>
    <w:rsid w:val="00E32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c.ahajournals.org/search?author1=Valentin+Curt&amp;sortspec=date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rc.ahajournals.org/search?author1=Howard+Rutman&amp;sortspec=date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rc.ahajournals.org/search?author1=Francesco+Nordio&amp;sortspec=date&amp;submit=Subm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irc.ahajournals.org/search?author1=Sabina+A+Murphy&amp;sortspec=date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irc.ahajournals.org/search?author1=Michele+Mercuri&amp;sortspec=date&amp;submit=Subm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1990</Words>
  <Characters>11344</Characters>
  <Application>Microsoft Office Word</Application>
  <DocSecurity>0</DocSecurity>
  <Lines>94</Lines>
  <Paragraphs>26</Paragraphs>
  <ScaleCrop>false</ScaleCrop>
  <Company/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1</cp:revision>
  <dcterms:created xsi:type="dcterms:W3CDTF">2017-02-02T18:47:00Z</dcterms:created>
  <dcterms:modified xsi:type="dcterms:W3CDTF">2017-02-02T18:48:00Z</dcterms:modified>
</cp:coreProperties>
</file>